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E0983" w14:textId="77777777" w:rsidR="006B7D71" w:rsidRPr="0019785D" w:rsidRDefault="006B7D71" w:rsidP="006B7D71">
      <w:pPr>
        <w:tabs>
          <w:tab w:val="left" w:pos="567"/>
        </w:tabs>
        <w:spacing w:line="276" w:lineRule="auto"/>
        <w:rPr>
          <w:rFonts w:ascii="Bookman Old Style" w:hAnsi="Bookman Old Style" w:cs="Times New Roman"/>
          <w:sz w:val="28"/>
          <w:szCs w:val="28"/>
        </w:rPr>
      </w:pPr>
      <w:r w:rsidRPr="0019785D">
        <w:rPr>
          <w:rFonts w:ascii="Bookman Old Style" w:hAnsi="Bookman Old Style" w:cs="Times New Roman"/>
          <w:sz w:val="28"/>
          <w:szCs w:val="28"/>
        </w:rPr>
        <w:t>ΑΝΩΤΑΤΟ ΔΙΚΑΣΤΗΡΙΟ ΚΥΠΡΟΥ</w:t>
      </w:r>
    </w:p>
    <w:p w14:paraId="4ADFE4FE" w14:textId="77777777" w:rsidR="006B7D71" w:rsidRPr="0019785D" w:rsidRDefault="006B7D71" w:rsidP="006B7D71">
      <w:pPr>
        <w:spacing w:line="276" w:lineRule="auto"/>
        <w:rPr>
          <w:rFonts w:ascii="Bookman Old Style" w:hAnsi="Bookman Old Style" w:cs="Times New Roman"/>
          <w:sz w:val="28"/>
          <w:szCs w:val="28"/>
        </w:rPr>
      </w:pPr>
      <w:r w:rsidRPr="0019785D">
        <w:rPr>
          <w:rFonts w:ascii="Bookman Old Style" w:hAnsi="Bookman Old Style" w:cs="Times New Roman"/>
          <w:sz w:val="28"/>
          <w:szCs w:val="28"/>
        </w:rPr>
        <w:t>ΔΕΥΤΕΡΟΒΑΘΜΙΑ ΔΙΚΑΙΟΔΟΣΙΑ</w:t>
      </w:r>
    </w:p>
    <w:p w14:paraId="0A60CE9A" w14:textId="77777777" w:rsidR="006B7D71" w:rsidRPr="0019785D" w:rsidRDefault="006B7D71" w:rsidP="006B7D71">
      <w:pPr>
        <w:spacing w:line="276" w:lineRule="auto"/>
        <w:jc w:val="right"/>
        <w:rPr>
          <w:rFonts w:ascii="Bookman Old Style" w:hAnsi="Bookman Old Style" w:cs="Times New Roman"/>
          <w:sz w:val="28"/>
          <w:szCs w:val="28"/>
        </w:rPr>
      </w:pPr>
      <w:r w:rsidRPr="0019785D">
        <w:rPr>
          <w:rFonts w:ascii="Bookman Old Style" w:hAnsi="Bookman Old Style" w:cs="Times New Roman"/>
          <w:sz w:val="28"/>
          <w:szCs w:val="28"/>
        </w:rPr>
        <w:tab/>
      </w:r>
      <w:r w:rsidRPr="0019785D">
        <w:rPr>
          <w:rFonts w:ascii="Bookman Old Style" w:hAnsi="Bookman Old Style" w:cs="Times New Roman"/>
          <w:sz w:val="28"/>
          <w:szCs w:val="28"/>
        </w:rPr>
        <w:tab/>
      </w:r>
      <w:r w:rsidRPr="0019785D">
        <w:rPr>
          <w:rFonts w:ascii="Bookman Old Style" w:hAnsi="Bookman Old Style" w:cs="Times New Roman"/>
          <w:sz w:val="28"/>
          <w:szCs w:val="28"/>
        </w:rPr>
        <w:tab/>
      </w:r>
      <w:r w:rsidRPr="0019785D">
        <w:rPr>
          <w:rFonts w:ascii="Bookman Old Style" w:hAnsi="Bookman Old Style" w:cs="Times New Roman"/>
          <w:sz w:val="28"/>
          <w:szCs w:val="28"/>
        </w:rPr>
        <w:tab/>
      </w:r>
      <w:r w:rsidRPr="0019785D">
        <w:rPr>
          <w:rFonts w:ascii="Bookman Old Style" w:hAnsi="Bookman Old Style" w:cs="Times New Roman"/>
          <w:sz w:val="28"/>
          <w:szCs w:val="28"/>
        </w:rPr>
        <w:tab/>
      </w:r>
      <w:r w:rsidRPr="0019785D">
        <w:rPr>
          <w:rFonts w:ascii="Bookman Old Style" w:hAnsi="Bookman Old Style" w:cs="Times New Roman"/>
          <w:sz w:val="28"/>
          <w:szCs w:val="28"/>
        </w:rPr>
        <w:tab/>
      </w:r>
    </w:p>
    <w:p w14:paraId="3EE293C1" w14:textId="2D81BB87" w:rsidR="006B7D71" w:rsidRPr="0019785D" w:rsidRDefault="006B7D71" w:rsidP="006B7D71">
      <w:pPr>
        <w:spacing w:line="276" w:lineRule="auto"/>
        <w:jc w:val="right"/>
        <w:rPr>
          <w:rFonts w:ascii="Bookman Old Style" w:hAnsi="Bookman Old Style" w:cs="Times New Roman"/>
          <w:i/>
          <w:sz w:val="28"/>
          <w:szCs w:val="28"/>
        </w:rPr>
      </w:pPr>
      <w:r w:rsidRPr="0019785D">
        <w:rPr>
          <w:rFonts w:ascii="Bookman Old Style" w:hAnsi="Bookman Old Style" w:cs="Times New Roman"/>
          <w:sz w:val="28"/>
          <w:szCs w:val="28"/>
        </w:rPr>
        <w:t>(</w:t>
      </w:r>
      <w:r w:rsidRPr="0019785D">
        <w:rPr>
          <w:rFonts w:ascii="Bookman Old Style" w:hAnsi="Bookman Old Style" w:cs="Times New Roman"/>
          <w:i/>
          <w:sz w:val="28"/>
          <w:szCs w:val="28"/>
        </w:rPr>
        <w:t xml:space="preserve">Πολιτική Έφεση Αρ. </w:t>
      </w:r>
      <w:r w:rsidRPr="00DF2048">
        <w:rPr>
          <w:rFonts w:ascii="Bookman Old Style" w:hAnsi="Bookman Old Style" w:cs="Times New Roman"/>
          <w:i/>
          <w:sz w:val="28"/>
          <w:szCs w:val="28"/>
        </w:rPr>
        <w:t>33</w:t>
      </w:r>
      <w:r w:rsidRPr="0040112C">
        <w:rPr>
          <w:rFonts w:ascii="Bookman Old Style" w:hAnsi="Bookman Old Style" w:cs="Times New Roman"/>
          <w:i/>
          <w:sz w:val="28"/>
          <w:szCs w:val="28"/>
        </w:rPr>
        <w:t>/</w:t>
      </w:r>
      <w:r w:rsidRPr="0019785D">
        <w:rPr>
          <w:rFonts w:ascii="Bookman Old Style" w:hAnsi="Bookman Old Style" w:cs="Times New Roman"/>
          <w:i/>
          <w:sz w:val="28"/>
          <w:szCs w:val="28"/>
        </w:rPr>
        <w:t>201</w:t>
      </w:r>
      <w:r w:rsidRPr="00DF2048">
        <w:rPr>
          <w:rFonts w:ascii="Bookman Old Style" w:hAnsi="Bookman Old Style" w:cs="Times New Roman"/>
          <w:i/>
          <w:sz w:val="28"/>
          <w:szCs w:val="28"/>
        </w:rPr>
        <w:t>3</w:t>
      </w:r>
      <w:r w:rsidRPr="0019785D">
        <w:rPr>
          <w:rFonts w:ascii="Bookman Old Style" w:hAnsi="Bookman Old Style" w:cs="Times New Roman"/>
          <w:iCs/>
          <w:sz w:val="28"/>
          <w:szCs w:val="28"/>
        </w:rPr>
        <w:t>)</w:t>
      </w:r>
    </w:p>
    <w:p w14:paraId="154B3A98" w14:textId="77777777" w:rsidR="006B7D71" w:rsidRPr="0019785D" w:rsidRDefault="006B7D71" w:rsidP="006B7D71">
      <w:pPr>
        <w:spacing w:line="276" w:lineRule="auto"/>
        <w:rPr>
          <w:rFonts w:ascii="Bookman Old Style" w:hAnsi="Bookman Old Style" w:cs="Times New Roman"/>
          <w:sz w:val="28"/>
          <w:szCs w:val="28"/>
          <w:u w:val="single"/>
        </w:rPr>
      </w:pPr>
    </w:p>
    <w:p w14:paraId="021386C7" w14:textId="77777777" w:rsidR="006B7D71" w:rsidRPr="0019785D" w:rsidRDefault="006B7D71" w:rsidP="006B7D71">
      <w:pPr>
        <w:jc w:val="center"/>
        <w:rPr>
          <w:rFonts w:ascii="Bookman Old Style" w:hAnsi="Bookman Old Style" w:cs="Times New Roman"/>
          <w:sz w:val="28"/>
          <w:szCs w:val="28"/>
        </w:rPr>
      </w:pPr>
    </w:p>
    <w:p w14:paraId="4226448E" w14:textId="7337E849" w:rsidR="006B7D71" w:rsidRPr="0019785D" w:rsidRDefault="006461AA" w:rsidP="006B7D71">
      <w:pPr>
        <w:jc w:val="center"/>
        <w:rPr>
          <w:rFonts w:ascii="Bookman Old Style" w:hAnsi="Bookman Old Style" w:cs="Times New Roman"/>
          <w:sz w:val="28"/>
          <w:szCs w:val="28"/>
        </w:rPr>
      </w:pPr>
      <w:r>
        <w:rPr>
          <w:rFonts w:ascii="Bookman Old Style" w:hAnsi="Bookman Old Style" w:cs="Times New Roman"/>
          <w:sz w:val="28"/>
          <w:szCs w:val="28"/>
        </w:rPr>
        <w:t>2</w:t>
      </w:r>
      <w:r w:rsidR="00B57894">
        <w:rPr>
          <w:rFonts w:ascii="Bookman Old Style" w:hAnsi="Bookman Old Style" w:cs="Times New Roman"/>
          <w:sz w:val="28"/>
          <w:szCs w:val="28"/>
          <w:lang w:val="en-US"/>
        </w:rPr>
        <w:t>2</w:t>
      </w:r>
      <w:r>
        <w:rPr>
          <w:rFonts w:ascii="Bookman Old Style" w:hAnsi="Bookman Old Style" w:cs="Times New Roman"/>
          <w:sz w:val="28"/>
          <w:szCs w:val="28"/>
        </w:rPr>
        <w:t xml:space="preserve"> </w:t>
      </w:r>
      <w:r w:rsidR="00B3484A">
        <w:rPr>
          <w:rFonts w:ascii="Bookman Old Style" w:hAnsi="Bookman Old Style" w:cs="Times New Roman"/>
          <w:sz w:val="28"/>
          <w:szCs w:val="28"/>
        </w:rPr>
        <w:t>Σεπτεμβρί</w:t>
      </w:r>
      <w:r w:rsidR="006B7D71" w:rsidRPr="0019785D">
        <w:rPr>
          <w:rFonts w:ascii="Bookman Old Style" w:hAnsi="Bookman Old Style" w:cs="Times New Roman"/>
          <w:sz w:val="28"/>
          <w:szCs w:val="28"/>
        </w:rPr>
        <w:t>ου, 2023</w:t>
      </w:r>
    </w:p>
    <w:p w14:paraId="5120C145" w14:textId="77777777" w:rsidR="006B7D71" w:rsidRPr="0019785D" w:rsidRDefault="006B7D71" w:rsidP="006B7D71">
      <w:pPr>
        <w:rPr>
          <w:rFonts w:ascii="Bookman Old Style" w:hAnsi="Bookman Old Style" w:cs="Times New Roman"/>
          <w:sz w:val="28"/>
          <w:szCs w:val="28"/>
        </w:rPr>
      </w:pPr>
    </w:p>
    <w:p w14:paraId="70A3620F" w14:textId="77777777" w:rsidR="006B7D71" w:rsidRPr="0019785D" w:rsidRDefault="006B7D71" w:rsidP="006B7D71">
      <w:pPr>
        <w:jc w:val="center"/>
        <w:rPr>
          <w:rFonts w:ascii="Bookman Old Style" w:hAnsi="Bookman Old Style" w:cs="Times New Roman"/>
          <w:sz w:val="28"/>
          <w:szCs w:val="28"/>
        </w:rPr>
      </w:pPr>
    </w:p>
    <w:p w14:paraId="46F5CC2A" w14:textId="77777777" w:rsidR="006B7D71" w:rsidRPr="0019785D" w:rsidRDefault="006B7D71" w:rsidP="006B7D71">
      <w:pPr>
        <w:jc w:val="center"/>
        <w:rPr>
          <w:rFonts w:ascii="Bookman Old Style" w:hAnsi="Bookman Old Style" w:cs="Times New Roman"/>
          <w:sz w:val="28"/>
          <w:szCs w:val="28"/>
        </w:rPr>
      </w:pPr>
      <w:r w:rsidRPr="0019785D">
        <w:rPr>
          <w:rFonts w:ascii="Bookman Old Style" w:hAnsi="Bookman Old Style" w:cs="Times New Roman"/>
          <w:sz w:val="28"/>
          <w:szCs w:val="28"/>
        </w:rPr>
        <w:t>[ΜΑΛΑΧΤΟΣ, ΙΩΑΝΝΙΔΗΣ, ΕΦΡΑΙΜ, Δ/στές]</w:t>
      </w:r>
    </w:p>
    <w:p w14:paraId="2BA6278C" w14:textId="77777777" w:rsidR="006B7D71" w:rsidRPr="0019785D" w:rsidRDefault="006B7D71" w:rsidP="002E4327">
      <w:pPr>
        <w:tabs>
          <w:tab w:val="left" w:pos="2552"/>
        </w:tabs>
        <w:rPr>
          <w:rFonts w:ascii="Bookman Old Style" w:hAnsi="Bookman Old Style" w:cs="Times New Roman"/>
          <w:sz w:val="28"/>
          <w:szCs w:val="28"/>
        </w:rPr>
      </w:pPr>
    </w:p>
    <w:p w14:paraId="2047F942" w14:textId="77777777" w:rsidR="006B7D71" w:rsidRPr="0019785D" w:rsidRDefault="006B7D71" w:rsidP="006B7D71">
      <w:pPr>
        <w:rPr>
          <w:rFonts w:ascii="Bookman Old Style" w:hAnsi="Bookman Old Style" w:cs="Times New Roman"/>
          <w:sz w:val="28"/>
          <w:szCs w:val="28"/>
        </w:rPr>
      </w:pPr>
    </w:p>
    <w:p w14:paraId="043212D3" w14:textId="63360E21" w:rsidR="006B7D71" w:rsidRPr="0019785D" w:rsidRDefault="006B7D71" w:rsidP="006B7D71">
      <w:pPr>
        <w:tabs>
          <w:tab w:val="left" w:pos="3544"/>
        </w:tabs>
        <w:jc w:val="center"/>
        <w:rPr>
          <w:rFonts w:ascii="Bookman Old Style" w:hAnsi="Bookman Old Style" w:cs="Times New Roman"/>
          <w:sz w:val="28"/>
          <w:szCs w:val="28"/>
        </w:rPr>
      </w:pPr>
      <w:r>
        <w:rPr>
          <w:rFonts w:ascii="Bookman Old Style" w:hAnsi="Bookman Old Style" w:cs="Times New Roman"/>
          <w:sz w:val="28"/>
          <w:szCs w:val="28"/>
        </w:rPr>
        <w:t>ΙΩΑΝΝΗΣ ΚΑΡΥΔΑ</w:t>
      </w:r>
    </w:p>
    <w:p w14:paraId="1008E4D3" w14:textId="025BA289" w:rsidR="006B7D71" w:rsidRPr="0019785D" w:rsidRDefault="006B7D71" w:rsidP="002E4327">
      <w:pPr>
        <w:tabs>
          <w:tab w:val="left" w:pos="1985"/>
          <w:tab w:val="left" w:pos="5387"/>
        </w:tabs>
        <w:ind w:left="2694" w:hanging="426"/>
        <w:rPr>
          <w:rFonts w:ascii="Bookman Old Style" w:hAnsi="Bookman Old Style" w:cs="Times New Roman"/>
          <w:i/>
          <w:sz w:val="28"/>
          <w:szCs w:val="28"/>
        </w:rPr>
      </w:pPr>
      <w:r w:rsidRPr="0019785D">
        <w:rPr>
          <w:rFonts w:ascii="Bookman Old Style" w:hAnsi="Bookman Old Style" w:cs="Times New Roman"/>
          <w:i/>
          <w:sz w:val="28"/>
          <w:szCs w:val="28"/>
        </w:rPr>
        <w:tab/>
      </w:r>
      <w:r w:rsidRPr="0019785D">
        <w:rPr>
          <w:rFonts w:ascii="Bookman Old Style" w:hAnsi="Bookman Old Style" w:cs="Times New Roman"/>
          <w:i/>
          <w:sz w:val="28"/>
          <w:szCs w:val="28"/>
        </w:rPr>
        <w:tab/>
      </w:r>
      <w:r w:rsidRPr="0019785D">
        <w:rPr>
          <w:rFonts w:ascii="Bookman Old Style" w:hAnsi="Bookman Old Style" w:cs="Times New Roman"/>
          <w:i/>
          <w:sz w:val="28"/>
          <w:szCs w:val="28"/>
        </w:rPr>
        <w:tab/>
      </w:r>
      <w:r w:rsidRPr="0019785D">
        <w:rPr>
          <w:rFonts w:ascii="Bookman Old Style" w:hAnsi="Bookman Old Style" w:cs="Times New Roman"/>
          <w:i/>
          <w:sz w:val="28"/>
          <w:szCs w:val="28"/>
        </w:rPr>
        <w:tab/>
      </w:r>
      <w:r w:rsidRPr="0019785D">
        <w:rPr>
          <w:rFonts w:ascii="Bookman Old Style" w:hAnsi="Bookman Old Style" w:cs="Times New Roman"/>
          <w:i/>
          <w:sz w:val="28"/>
          <w:szCs w:val="28"/>
        </w:rPr>
        <w:tab/>
      </w:r>
      <w:r w:rsidRPr="0019785D">
        <w:rPr>
          <w:rFonts w:ascii="Bookman Old Style" w:hAnsi="Bookman Old Style" w:cs="Times New Roman"/>
          <w:i/>
          <w:sz w:val="28"/>
          <w:szCs w:val="28"/>
        </w:rPr>
        <w:tab/>
      </w:r>
      <w:r w:rsidR="002E4327">
        <w:rPr>
          <w:rFonts w:ascii="Bookman Old Style" w:hAnsi="Bookman Old Style" w:cs="Times New Roman"/>
          <w:i/>
          <w:sz w:val="28"/>
          <w:szCs w:val="28"/>
        </w:rPr>
        <w:t>Ε</w:t>
      </w:r>
      <w:r w:rsidRPr="0019785D">
        <w:rPr>
          <w:rFonts w:ascii="Bookman Old Style" w:hAnsi="Bookman Old Style" w:cs="Times New Roman"/>
          <w:i/>
          <w:sz w:val="28"/>
          <w:szCs w:val="28"/>
        </w:rPr>
        <w:t>φεσείο</w:t>
      </w:r>
      <w:r>
        <w:rPr>
          <w:rFonts w:ascii="Bookman Old Style" w:hAnsi="Bookman Old Style" w:cs="Times New Roman"/>
          <w:i/>
          <w:sz w:val="28"/>
          <w:szCs w:val="28"/>
        </w:rPr>
        <w:t>ντας</w:t>
      </w:r>
      <w:r w:rsidR="002E4327">
        <w:rPr>
          <w:rFonts w:ascii="Bookman Old Style" w:hAnsi="Bookman Old Style" w:cs="Times New Roman"/>
          <w:i/>
          <w:sz w:val="28"/>
          <w:szCs w:val="28"/>
        </w:rPr>
        <w:t>/Εναγόμενος</w:t>
      </w:r>
      <w:r w:rsidRPr="0019785D">
        <w:rPr>
          <w:rFonts w:ascii="Bookman Old Style" w:hAnsi="Bookman Old Style" w:cs="Times New Roman"/>
          <w:i/>
          <w:sz w:val="28"/>
          <w:szCs w:val="28"/>
        </w:rPr>
        <w:t>,</w:t>
      </w:r>
    </w:p>
    <w:p w14:paraId="403F20A9" w14:textId="77777777" w:rsidR="006B7D71" w:rsidRPr="0019785D" w:rsidRDefault="006B7D71" w:rsidP="006B7D71">
      <w:pPr>
        <w:jc w:val="center"/>
        <w:rPr>
          <w:rFonts w:ascii="Bookman Old Style" w:hAnsi="Bookman Old Style" w:cs="Times New Roman"/>
          <w:iCs/>
          <w:sz w:val="28"/>
          <w:szCs w:val="28"/>
        </w:rPr>
      </w:pPr>
      <w:r w:rsidRPr="0019785D">
        <w:rPr>
          <w:rFonts w:ascii="Bookman Old Style" w:hAnsi="Bookman Old Style" w:cs="Times New Roman"/>
          <w:iCs/>
          <w:sz w:val="28"/>
          <w:szCs w:val="28"/>
        </w:rPr>
        <w:t>ν.</w:t>
      </w:r>
    </w:p>
    <w:p w14:paraId="50D4BB1A" w14:textId="77777777" w:rsidR="006B7D71" w:rsidRPr="0019785D" w:rsidRDefault="006B7D71" w:rsidP="006B7D71">
      <w:pPr>
        <w:jc w:val="center"/>
        <w:rPr>
          <w:rFonts w:ascii="Bookman Old Style" w:hAnsi="Bookman Old Style" w:cs="Times New Roman"/>
          <w:iCs/>
          <w:sz w:val="28"/>
          <w:szCs w:val="28"/>
        </w:rPr>
      </w:pPr>
    </w:p>
    <w:p w14:paraId="0C1AA7C5" w14:textId="2875475C" w:rsidR="006B7D71" w:rsidRPr="0019785D" w:rsidRDefault="006B7D71" w:rsidP="006B7D71">
      <w:pPr>
        <w:jc w:val="center"/>
        <w:rPr>
          <w:rFonts w:ascii="Bookman Old Style" w:hAnsi="Bookman Old Style" w:cs="Times New Roman"/>
          <w:iCs/>
          <w:sz w:val="28"/>
          <w:szCs w:val="28"/>
        </w:rPr>
      </w:pPr>
      <w:r>
        <w:rPr>
          <w:rFonts w:ascii="Bookman Old Style" w:hAnsi="Bookman Old Style" w:cs="Times New Roman"/>
          <w:iCs/>
          <w:sz w:val="28"/>
          <w:szCs w:val="28"/>
        </w:rPr>
        <w:t>ΔΩΡΟΥ ΛΥΚΟΥΡΓΟΥ</w:t>
      </w:r>
    </w:p>
    <w:p w14:paraId="75A2E371" w14:textId="77777777" w:rsidR="006B7D71" w:rsidRPr="0019785D" w:rsidRDefault="006B7D71" w:rsidP="006B7D71">
      <w:pPr>
        <w:jc w:val="center"/>
        <w:rPr>
          <w:rFonts w:ascii="Bookman Old Style" w:hAnsi="Bookman Old Style" w:cs="Times New Roman"/>
          <w:iCs/>
          <w:sz w:val="28"/>
          <w:szCs w:val="28"/>
        </w:rPr>
      </w:pPr>
    </w:p>
    <w:p w14:paraId="1B0F5B6B" w14:textId="76DEDE9D" w:rsidR="006B7D71" w:rsidRDefault="006B7D71" w:rsidP="002E4327">
      <w:pPr>
        <w:tabs>
          <w:tab w:val="left" w:pos="5387"/>
        </w:tabs>
        <w:rPr>
          <w:rFonts w:ascii="Bookman Old Style" w:hAnsi="Bookman Old Style" w:cs="Times New Roman"/>
          <w:i/>
          <w:sz w:val="28"/>
          <w:szCs w:val="28"/>
        </w:rPr>
      </w:pPr>
      <w:r w:rsidRPr="0019785D">
        <w:rPr>
          <w:rFonts w:ascii="Bookman Old Style" w:hAnsi="Bookman Old Style" w:cs="Times New Roman"/>
          <w:i/>
          <w:sz w:val="28"/>
          <w:szCs w:val="28"/>
        </w:rPr>
        <w:tab/>
        <w:t>Εφεσίβλητ</w:t>
      </w:r>
      <w:r>
        <w:rPr>
          <w:rFonts w:ascii="Bookman Old Style" w:hAnsi="Bookman Old Style" w:cs="Times New Roman"/>
          <w:i/>
          <w:sz w:val="28"/>
          <w:szCs w:val="28"/>
        </w:rPr>
        <w:t>ου</w:t>
      </w:r>
      <w:r w:rsidR="002E4327">
        <w:rPr>
          <w:rFonts w:ascii="Bookman Old Style" w:hAnsi="Bookman Old Style" w:cs="Times New Roman"/>
          <w:i/>
          <w:sz w:val="28"/>
          <w:szCs w:val="28"/>
        </w:rPr>
        <w:t>/Ενάγοντα</w:t>
      </w:r>
      <w:r>
        <w:rPr>
          <w:rFonts w:ascii="Bookman Old Style" w:hAnsi="Bookman Old Style" w:cs="Times New Roman"/>
          <w:i/>
          <w:sz w:val="28"/>
          <w:szCs w:val="28"/>
        </w:rPr>
        <w:t>,</w:t>
      </w:r>
    </w:p>
    <w:p w14:paraId="31D570D5" w14:textId="77777777" w:rsidR="006B7D71" w:rsidRDefault="006B7D71" w:rsidP="006B7D71">
      <w:pPr>
        <w:tabs>
          <w:tab w:val="left" w:pos="5670"/>
        </w:tabs>
        <w:rPr>
          <w:rFonts w:ascii="Bookman Old Style" w:hAnsi="Bookman Old Style" w:cs="Times New Roman"/>
          <w:i/>
          <w:sz w:val="28"/>
          <w:szCs w:val="28"/>
        </w:rPr>
      </w:pPr>
    </w:p>
    <w:p w14:paraId="04FC4CB5" w14:textId="7017C0DF" w:rsidR="006B7D71" w:rsidRDefault="006B7D71" w:rsidP="006B7D71">
      <w:pPr>
        <w:tabs>
          <w:tab w:val="left" w:pos="5670"/>
        </w:tabs>
        <w:jc w:val="center"/>
        <w:rPr>
          <w:rFonts w:ascii="Bookman Old Style" w:hAnsi="Bookman Old Style" w:cs="Times New Roman"/>
          <w:i/>
          <w:sz w:val="28"/>
          <w:szCs w:val="28"/>
        </w:rPr>
      </w:pPr>
      <w:r>
        <w:rPr>
          <w:rFonts w:ascii="Bookman Old Style" w:hAnsi="Bookman Old Style" w:cs="Times New Roman"/>
          <w:iCs/>
          <w:sz w:val="28"/>
          <w:szCs w:val="28"/>
        </w:rPr>
        <w:t>ν</w:t>
      </w:r>
      <w:r w:rsidRPr="0019785D">
        <w:rPr>
          <w:rFonts w:ascii="Bookman Old Style" w:hAnsi="Bookman Old Style" w:cs="Times New Roman"/>
          <w:i/>
          <w:sz w:val="28"/>
          <w:szCs w:val="28"/>
        </w:rPr>
        <w:t>.</w:t>
      </w:r>
    </w:p>
    <w:p w14:paraId="2842A549" w14:textId="77777777" w:rsidR="006B7D71" w:rsidRDefault="006B7D71" w:rsidP="006B7D71">
      <w:pPr>
        <w:tabs>
          <w:tab w:val="left" w:pos="5670"/>
        </w:tabs>
        <w:jc w:val="center"/>
        <w:rPr>
          <w:rFonts w:ascii="Bookman Old Style" w:hAnsi="Bookman Old Style" w:cs="Times New Roman"/>
          <w:i/>
          <w:sz w:val="28"/>
          <w:szCs w:val="28"/>
        </w:rPr>
      </w:pPr>
    </w:p>
    <w:p w14:paraId="64A63830" w14:textId="30D4817D" w:rsidR="006B7D71" w:rsidRDefault="002E4327" w:rsidP="002E4327">
      <w:pPr>
        <w:pStyle w:val="ListParagraph"/>
        <w:numPr>
          <w:ilvl w:val="0"/>
          <w:numId w:val="1"/>
        </w:numPr>
        <w:tabs>
          <w:tab w:val="left" w:pos="5670"/>
        </w:tabs>
        <w:ind w:left="2552" w:hanging="284"/>
        <w:rPr>
          <w:rFonts w:ascii="Bookman Old Style" w:hAnsi="Bookman Old Style" w:cs="Times New Roman"/>
          <w:iCs/>
          <w:sz w:val="28"/>
          <w:szCs w:val="28"/>
        </w:rPr>
      </w:pPr>
      <w:r>
        <w:rPr>
          <w:rFonts w:ascii="Bookman Old Style" w:hAnsi="Bookman Old Style" w:cs="Times New Roman"/>
          <w:iCs/>
          <w:sz w:val="28"/>
          <w:szCs w:val="28"/>
        </w:rPr>
        <w:t xml:space="preserve"> </w:t>
      </w:r>
      <w:r w:rsidR="006B7D71">
        <w:rPr>
          <w:rFonts w:ascii="Bookman Old Style" w:hAnsi="Bookman Old Style" w:cs="Times New Roman"/>
          <w:iCs/>
          <w:sz w:val="28"/>
          <w:szCs w:val="28"/>
        </w:rPr>
        <w:t>ΤΑΣΟΣ ΠΑΞΙΟΛΑΣ ΜΟΤΟΡΣ ΛΤΔ</w:t>
      </w:r>
    </w:p>
    <w:p w14:paraId="4A9809AB" w14:textId="0CFD1FE5" w:rsidR="006B7D71" w:rsidRDefault="002E4327" w:rsidP="002E4327">
      <w:pPr>
        <w:pStyle w:val="ListParagraph"/>
        <w:numPr>
          <w:ilvl w:val="0"/>
          <w:numId w:val="1"/>
        </w:numPr>
        <w:tabs>
          <w:tab w:val="left" w:pos="2552"/>
        </w:tabs>
        <w:ind w:firstLine="1548"/>
        <w:rPr>
          <w:rFonts w:ascii="Bookman Old Style" w:hAnsi="Bookman Old Style" w:cs="Times New Roman"/>
          <w:iCs/>
          <w:sz w:val="28"/>
          <w:szCs w:val="28"/>
        </w:rPr>
      </w:pPr>
      <w:r>
        <w:rPr>
          <w:rFonts w:ascii="Bookman Old Style" w:hAnsi="Bookman Old Style" w:cs="Times New Roman"/>
          <w:iCs/>
          <w:sz w:val="28"/>
          <w:szCs w:val="28"/>
        </w:rPr>
        <w:t xml:space="preserve"> </w:t>
      </w:r>
      <w:r w:rsidR="006B7D71">
        <w:rPr>
          <w:rFonts w:ascii="Bookman Old Style" w:hAnsi="Bookman Old Style" w:cs="Times New Roman"/>
          <w:iCs/>
          <w:sz w:val="28"/>
          <w:szCs w:val="28"/>
        </w:rPr>
        <w:t>ΤΑΣΟΥ ΠΑΞΙΟΛΑ</w:t>
      </w:r>
    </w:p>
    <w:p w14:paraId="2C057F2E" w14:textId="15DE77C5" w:rsidR="002E4327" w:rsidRDefault="002E4327" w:rsidP="002E4327">
      <w:pPr>
        <w:tabs>
          <w:tab w:val="left" w:pos="2552"/>
        </w:tabs>
        <w:rPr>
          <w:rFonts w:ascii="Bookman Old Style" w:hAnsi="Bookman Old Style" w:cs="Times New Roman"/>
          <w:iCs/>
          <w:sz w:val="28"/>
          <w:szCs w:val="28"/>
        </w:rPr>
      </w:pPr>
      <w:r>
        <w:rPr>
          <w:rFonts w:ascii="Bookman Old Style" w:hAnsi="Bookman Old Style" w:cs="Times New Roman"/>
          <w:iCs/>
          <w:sz w:val="28"/>
          <w:szCs w:val="28"/>
        </w:rPr>
        <w:tab/>
      </w:r>
      <w:r>
        <w:rPr>
          <w:rFonts w:ascii="Bookman Old Style" w:hAnsi="Bookman Old Style" w:cs="Times New Roman"/>
          <w:iCs/>
          <w:sz w:val="28"/>
          <w:szCs w:val="28"/>
        </w:rPr>
        <w:tab/>
      </w:r>
      <w:r>
        <w:rPr>
          <w:rFonts w:ascii="Bookman Old Style" w:hAnsi="Bookman Old Style" w:cs="Times New Roman"/>
          <w:iCs/>
          <w:sz w:val="28"/>
          <w:szCs w:val="28"/>
        </w:rPr>
        <w:tab/>
      </w:r>
    </w:p>
    <w:p w14:paraId="739A968C" w14:textId="7DAC39C5" w:rsidR="002E4327" w:rsidRPr="002E4327" w:rsidRDefault="002E4327" w:rsidP="002E4327">
      <w:pPr>
        <w:tabs>
          <w:tab w:val="left" w:pos="5387"/>
        </w:tabs>
        <w:rPr>
          <w:rFonts w:ascii="Bookman Old Style" w:hAnsi="Bookman Old Style" w:cs="Times New Roman"/>
          <w:i/>
          <w:sz w:val="28"/>
          <w:szCs w:val="28"/>
        </w:rPr>
      </w:pPr>
      <w:r>
        <w:rPr>
          <w:rFonts w:ascii="Bookman Old Style" w:hAnsi="Bookman Old Style" w:cs="Times New Roman"/>
          <w:iCs/>
          <w:sz w:val="28"/>
          <w:szCs w:val="28"/>
        </w:rPr>
        <w:tab/>
      </w:r>
      <w:r>
        <w:rPr>
          <w:rFonts w:ascii="Bookman Old Style" w:hAnsi="Bookman Old Style" w:cs="Times New Roman"/>
          <w:i/>
          <w:sz w:val="28"/>
          <w:szCs w:val="28"/>
        </w:rPr>
        <w:t>Εφεσίβλητων/Τριτοδιαδίκων</w:t>
      </w:r>
    </w:p>
    <w:p w14:paraId="4DF94A9B" w14:textId="77777777" w:rsidR="009E73CA" w:rsidRDefault="009E73CA" w:rsidP="006B7D71">
      <w:pPr>
        <w:jc w:val="center"/>
        <w:rPr>
          <w:rFonts w:ascii="Bookman Old Style" w:hAnsi="Bookman Old Style" w:cs="Times New Roman"/>
          <w:sz w:val="28"/>
          <w:szCs w:val="28"/>
        </w:rPr>
      </w:pPr>
    </w:p>
    <w:p w14:paraId="5E176989" w14:textId="70CEF0D0" w:rsidR="006B7D71" w:rsidRPr="0019785D" w:rsidRDefault="006B7D71" w:rsidP="006B7D71">
      <w:pPr>
        <w:jc w:val="center"/>
        <w:rPr>
          <w:rFonts w:ascii="Bookman Old Style" w:hAnsi="Bookman Old Style" w:cs="Times New Roman"/>
          <w:sz w:val="28"/>
          <w:szCs w:val="28"/>
        </w:rPr>
      </w:pPr>
      <w:r w:rsidRPr="0019785D">
        <w:rPr>
          <w:rFonts w:ascii="Bookman Old Style" w:hAnsi="Bookman Old Style" w:cs="Times New Roman"/>
          <w:sz w:val="28"/>
          <w:szCs w:val="28"/>
        </w:rPr>
        <w:t>……………………</w:t>
      </w:r>
    </w:p>
    <w:p w14:paraId="4DA2548B" w14:textId="77777777" w:rsidR="009E73CA" w:rsidRPr="0019785D" w:rsidRDefault="009E73CA" w:rsidP="00D860C7">
      <w:pPr>
        <w:rPr>
          <w:rFonts w:ascii="Bookman Old Style" w:hAnsi="Bookman Old Style" w:cs="Times New Roman"/>
          <w:sz w:val="28"/>
          <w:szCs w:val="28"/>
        </w:rPr>
      </w:pPr>
    </w:p>
    <w:p w14:paraId="6A770181" w14:textId="1A6BA635" w:rsidR="006B7D71" w:rsidRPr="002E4327" w:rsidRDefault="002E4327" w:rsidP="00D860C7">
      <w:pPr>
        <w:spacing w:line="276" w:lineRule="auto"/>
        <w:jc w:val="center"/>
        <w:rPr>
          <w:rFonts w:ascii="Bookman Old Style" w:hAnsi="Bookman Old Style" w:cs="Times New Roman"/>
          <w:b/>
          <w:bCs/>
          <w:sz w:val="28"/>
          <w:szCs w:val="28"/>
          <w:u w:val="single"/>
        </w:rPr>
      </w:pPr>
      <w:r>
        <w:rPr>
          <w:rFonts w:ascii="Bookman Old Style" w:hAnsi="Bookman Old Style" w:cs="Times New Roman"/>
          <w:b/>
          <w:bCs/>
          <w:sz w:val="28"/>
          <w:szCs w:val="28"/>
          <w:u w:val="single"/>
        </w:rPr>
        <w:t>Αίτηση</w:t>
      </w:r>
      <w:r w:rsidR="009E73CA">
        <w:rPr>
          <w:rFonts w:ascii="Bookman Old Style" w:hAnsi="Bookman Old Style" w:cs="Times New Roman"/>
          <w:b/>
          <w:bCs/>
          <w:sz w:val="28"/>
          <w:szCs w:val="28"/>
          <w:u w:val="single"/>
        </w:rPr>
        <w:t xml:space="preserve"> </w:t>
      </w:r>
      <w:r>
        <w:rPr>
          <w:rFonts w:ascii="Bookman Old Style" w:hAnsi="Bookman Old Style" w:cs="Times New Roman"/>
          <w:b/>
          <w:bCs/>
          <w:sz w:val="28"/>
          <w:szCs w:val="28"/>
          <w:u w:val="single"/>
        </w:rPr>
        <w:t>ημερομηνίας 2.8.22</w:t>
      </w:r>
    </w:p>
    <w:p w14:paraId="793A7630" w14:textId="77777777" w:rsidR="009E73CA" w:rsidRDefault="009E73CA" w:rsidP="00CC0363">
      <w:pPr>
        <w:tabs>
          <w:tab w:val="left" w:pos="567"/>
        </w:tabs>
        <w:spacing w:line="276" w:lineRule="auto"/>
        <w:rPr>
          <w:rFonts w:ascii="Bookman Old Style" w:hAnsi="Bookman Old Style" w:cs="Times New Roman"/>
          <w:i/>
          <w:iCs/>
          <w:sz w:val="28"/>
          <w:szCs w:val="28"/>
        </w:rPr>
      </w:pPr>
    </w:p>
    <w:p w14:paraId="6C5BBE5D" w14:textId="192592AB" w:rsidR="002E4327" w:rsidRDefault="002E4327" w:rsidP="006B7D71">
      <w:pPr>
        <w:tabs>
          <w:tab w:val="left" w:pos="567"/>
        </w:tabs>
        <w:spacing w:line="276" w:lineRule="auto"/>
        <w:ind w:left="567"/>
        <w:rPr>
          <w:rFonts w:ascii="Bookman Old Style" w:hAnsi="Bookman Old Style" w:cs="Times New Roman"/>
          <w:i/>
          <w:iCs/>
          <w:sz w:val="28"/>
          <w:szCs w:val="28"/>
        </w:rPr>
      </w:pPr>
      <w:r>
        <w:rPr>
          <w:rFonts w:ascii="Bookman Old Style" w:hAnsi="Bookman Old Style" w:cs="Times New Roman"/>
          <w:i/>
          <w:iCs/>
          <w:sz w:val="28"/>
          <w:szCs w:val="28"/>
        </w:rPr>
        <w:t>Μ. Πελεκάνος για Ε. Πελεκάνος &amp; Σία, για το</w:t>
      </w:r>
      <w:r w:rsidR="00B45F4F">
        <w:rPr>
          <w:rFonts w:ascii="Bookman Old Style" w:hAnsi="Bookman Old Style" w:cs="Times New Roman"/>
          <w:i/>
          <w:iCs/>
          <w:sz w:val="28"/>
          <w:szCs w:val="28"/>
        </w:rPr>
        <w:t>υς</w:t>
      </w:r>
      <w:r>
        <w:rPr>
          <w:rFonts w:ascii="Bookman Old Style" w:hAnsi="Bookman Old Style" w:cs="Times New Roman"/>
          <w:i/>
          <w:iCs/>
          <w:sz w:val="28"/>
          <w:szCs w:val="28"/>
        </w:rPr>
        <w:t xml:space="preserve"> Αιτητ</w:t>
      </w:r>
      <w:r w:rsidR="00B45F4F">
        <w:rPr>
          <w:rFonts w:ascii="Bookman Old Style" w:hAnsi="Bookman Old Style" w:cs="Times New Roman"/>
          <w:i/>
          <w:iCs/>
          <w:sz w:val="28"/>
          <w:szCs w:val="28"/>
        </w:rPr>
        <w:t>ές</w:t>
      </w:r>
      <w:r>
        <w:rPr>
          <w:rFonts w:ascii="Bookman Old Style" w:hAnsi="Bookman Old Style" w:cs="Times New Roman"/>
          <w:i/>
          <w:iCs/>
          <w:sz w:val="28"/>
          <w:szCs w:val="28"/>
        </w:rPr>
        <w:t>.</w:t>
      </w:r>
    </w:p>
    <w:p w14:paraId="27469C23" w14:textId="77777777" w:rsidR="009E73CA" w:rsidRDefault="002E4327" w:rsidP="006B7D71">
      <w:pPr>
        <w:tabs>
          <w:tab w:val="left" w:pos="567"/>
        </w:tabs>
        <w:spacing w:line="276" w:lineRule="auto"/>
        <w:ind w:left="567"/>
        <w:rPr>
          <w:rFonts w:ascii="Bookman Old Style" w:hAnsi="Bookman Old Style" w:cs="Times New Roman"/>
          <w:sz w:val="28"/>
          <w:szCs w:val="28"/>
        </w:rPr>
      </w:pPr>
      <w:r>
        <w:rPr>
          <w:rFonts w:ascii="Bookman Old Style" w:hAnsi="Bookman Old Style" w:cs="Times New Roman"/>
          <w:i/>
          <w:iCs/>
          <w:sz w:val="28"/>
          <w:szCs w:val="28"/>
        </w:rPr>
        <w:t xml:space="preserve">Λ. Βραχίμης με Π. Μαυρή και Ι. Καλογήρου, για Ε. Βραχίμη &amp; </w:t>
      </w:r>
      <w:r w:rsidRPr="002E4327">
        <w:rPr>
          <w:rFonts w:ascii="Bookman Old Style" w:hAnsi="Bookman Old Style" w:cs="Times New Roman"/>
          <w:sz w:val="28"/>
          <w:szCs w:val="28"/>
        </w:rPr>
        <w:t>Σία</w:t>
      </w:r>
      <w:r>
        <w:rPr>
          <w:rFonts w:ascii="Bookman Old Style" w:hAnsi="Bookman Old Style" w:cs="Times New Roman"/>
          <w:sz w:val="28"/>
          <w:szCs w:val="28"/>
        </w:rPr>
        <w:t>, για τον Καθ’ ου η Αίτηση</w:t>
      </w:r>
      <w:r w:rsidR="009E73CA">
        <w:rPr>
          <w:rFonts w:ascii="Bookman Old Style" w:hAnsi="Bookman Old Style" w:cs="Times New Roman"/>
          <w:sz w:val="28"/>
          <w:szCs w:val="28"/>
        </w:rPr>
        <w:t xml:space="preserve"> Ιωάννη Καρυδά.</w:t>
      </w:r>
    </w:p>
    <w:p w14:paraId="457B65D0" w14:textId="77777777" w:rsidR="006B7D71" w:rsidRPr="0019785D" w:rsidRDefault="006B7D71" w:rsidP="006B7D71">
      <w:pPr>
        <w:spacing w:line="276" w:lineRule="auto"/>
        <w:ind w:left="567"/>
        <w:rPr>
          <w:rFonts w:ascii="Bookman Old Style" w:hAnsi="Bookman Old Style" w:cs="Times New Roman"/>
          <w:sz w:val="28"/>
          <w:szCs w:val="28"/>
        </w:rPr>
      </w:pPr>
    </w:p>
    <w:p w14:paraId="035175DB" w14:textId="54AE73F0" w:rsidR="006B7D71" w:rsidRDefault="006B7D71" w:rsidP="00FA7552">
      <w:pPr>
        <w:tabs>
          <w:tab w:val="left" w:pos="567"/>
        </w:tabs>
        <w:spacing w:line="276" w:lineRule="auto"/>
        <w:jc w:val="center"/>
        <w:rPr>
          <w:rFonts w:ascii="Bookman Old Style" w:hAnsi="Bookman Old Style" w:cs="Times New Roman"/>
          <w:sz w:val="28"/>
          <w:szCs w:val="28"/>
        </w:rPr>
      </w:pPr>
      <w:r w:rsidRPr="0019785D">
        <w:rPr>
          <w:rFonts w:ascii="Bookman Old Style" w:hAnsi="Bookman Old Style" w:cs="Times New Roman"/>
          <w:b/>
          <w:sz w:val="28"/>
          <w:szCs w:val="28"/>
        </w:rPr>
        <w:t>ΜΑΛΑΧΤΟΣ, Δ.:</w:t>
      </w:r>
      <w:r w:rsidRPr="0019785D">
        <w:rPr>
          <w:rFonts w:ascii="Bookman Old Style" w:hAnsi="Bookman Old Style" w:cs="Times New Roman"/>
          <w:sz w:val="28"/>
          <w:szCs w:val="28"/>
        </w:rPr>
        <w:t xml:space="preserve"> Η απόφαση του Δικαστηρίου</w:t>
      </w:r>
      <w:r w:rsidR="00FA7552">
        <w:rPr>
          <w:rFonts w:ascii="Bookman Old Style" w:hAnsi="Bookman Old Style" w:cs="Times New Roman"/>
          <w:sz w:val="28"/>
          <w:szCs w:val="28"/>
        </w:rPr>
        <w:t xml:space="preserve"> είναι ομόφωνη και </w:t>
      </w:r>
    </w:p>
    <w:p w14:paraId="1C536098" w14:textId="16CB6250" w:rsidR="009E73CA" w:rsidRPr="00D860C7" w:rsidRDefault="006B7D71" w:rsidP="00D860C7">
      <w:pPr>
        <w:tabs>
          <w:tab w:val="left" w:pos="567"/>
        </w:tabs>
        <w:spacing w:line="276" w:lineRule="auto"/>
        <w:jc w:val="center"/>
        <w:rPr>
          <w:rFonts w:ascii="Bookman Old Style" w:hAnsi="Bookman Old Style" w:cs="Times New Roman"/>
          <w:sz w:val="28"/>
          <w:szCs w:val="28"/>
        </w:rPr>
      </w:pPr>
      <w:r w:rsidRPr="0019785D">
        <w:rPr>
          <w:rFonts w:ascii="Bookman Old Style" w:hAnsi="Bookman Old Style" w:cs="Times New Roman"/>
          <w:sz w:val="28"/>
          <w:szCs w:val="28"/>
        </w:rPr>
        <w:t xml:space="preserve"> θα δοθεί από την Εφραίμ, Δ.</w:t>
      </w:r>
    </w:p>
    <w:p w14:paraId="6D57EF1F" w14:textId="2A4B0D8B" w:rsidR="006B7D71" w:rsidRPr="0019785D" w:rsidRDefault="006B7D71" w:rsidP="006B7D71">
      <w:pPr>
        <w:tabs>
          <w:tab w:val="left" w:pos="567"/>
        </w:tabs>
        <w:jc w:val="center"/>
        <w:rPr>
          <w:rFonts w:ascii="Bookman Old Style" w:hAnsi="Bookman Old Style" w:cs="Times New Roman"/>
          <w:b/>
          <w:sz w:val="28"/>
          <w:szCs w:val="28"/>
          <w:u w:val="single"/>
        </w:rPr>
      </w:pPr>
      <w:r w:rsidRPr="0019785D">
        <w:rPr>
          <w:rFonts w:ascii="Bookman Old Style" w:hAnsi="Bookman Old Style" w:cs="Times New Roman"/>
          <w:b/>
          <w:sz w:val="28"/>
          <w:szCs w:val="28"/>
          <w:u w:val="single"/>
        </w:rPr>
        <w:lastRenderedPageBreak/>
        <w:t>Α Π Ο Φ Α Σ Η</w:t>
      </w:r>
    </w:p>
    <w:p w14:paraId="617D698D" w14:textId="77777777" w:rsidR="006B7D71" w:rsidRPr="0019785D" w:rsidRDefault="006B7D71" w:rsidP="006B7D71">
      <w:pPr>
        <w:tabs>
          <w:tab w:val="left" w:pos="567"/>
        </w:tabs>
        <w:jc w:val="center"/>
        <w:rPr>
          <w:rFonts w:ascii="Bookman Old Style" w:hAnsi="Bookman Old Style" w:cs="Times New Roman"/>
          <w:b/>
          <w:sz w:val="28"/>
          <w:szCs w:val="28"/>
          <w:u w:val="single"/>
        </w:rPr>
      </w:pPr>
    </w:p>
    <w:p w14:paraId="234738A4" w14:textId="77777777" w:rsidR="006B7D71" w:rsidRPr="0019785D" w:rsidRDefault="006B7D71" w:rsidP="006B7D71">
      <w:pPr>
        <w:tabs>
          <w:tab w:val="left" w:pos="567"/>
        </w:tabs>
        <w:rPr>
          <w:rFonts w:ascii="Bookman Old Style" w:hAnsi="Bookman Old Style" w:cs="Times New Roman"/>
          <w:b/>
          <w:sz w:val="28"/>
          <w:szCs w:val="28"/>
        </w:rPr>
      </w:pPr>
    </w:p>
    <w:p w14:paraId="32D6A679" w14:textId="2113E36E" w:rsidR="009E73CA" w:rsidRDefault="006B7D71" w:rsidP="009E73CA">
      <w:pPr>
        <w:tabs>
          <w:tab w:val="left" w:pos="567"/>
        </w:tabs>
        <w:spacing w:line="480" w:lineRule="auto"/>
        <w:rPr>
          <w:rFonts w:ascii="Bookman Old Style" w:hAnsi="Bookman Old Style"/>
          <w:sz w:val="28"/>
          <w:szCs w:val="28"/>
        </w:rPr>
      </w:pPr>
      <w:r w:rsidRPr="0019785D">
        <w:rPr>
          <w:rFonts w:ascii="Bookman Old Style" w:hAnsi="Bookman Old Style" w:cs="Times New Roman"/>
          <w:b/>
          <w:sz w:val="28"/>
          <w:szCs w:val="28"/>
        </w:rPr>
        <w:tab/>
        <w:t>ΕΦΡΑΙΜ, Δ.:</w:t>
      </w:r>
      <w:r w:rsidR="009E73CA">
        <w:rPr>
          <w:rFonts w:ascii="Bookman Old Style" w:hAnsi="Bookman Old Style" w:cs="Times New Roman"/>
          <w:b/>
          <w:sz w:val="28"/>
          <w:szCs w:val="28"/>
        </w:rPr>
        <w:t xml:space="preserve"> </w:t>
      </w:r>
      <w:r w:rsidR="009E73CA">
        <w:rPr>
          <w:rFonts w:ascii="Bookman Old Style" w:hAnsi="Bookman Old Style"/>
          <w:sz w:val="28"/>
          <w:szCs w:val="28"/>
        </w:rPr>
        <w:t xml:space="preserve">Με την υπό κρίση Αίτηση </w:t>
      </w:r>
      <w:r w:rsidR="005777CD">
        <w:rPr>
          <w:rFonts w:ascii="Bookman Old Style" w:hAnsi="Bookman Old Style"/>
          <w:sz w:val="28"/>
          <w:szCs w:val="28"/>
        </w:rPr>
        <w:t xml:space="preserve">οι Αιτητές, ήτοι </w:t>
      </w:r>
      <w:r w:rsidR="009E73CA">
        <w:rPr>
          <w:rFonts w:ascii="Bookman Old Style" w:hAnsi="Bookman Old Style"/>
          <w:sz w:val="28"/>
          <w:szCs w:val="28"/>
        </w:rPr>
        <w:t>το δικηγορικό γραφείο Ε. Πελεκάνος &amp; Σια,</w:t>
      </w:r>
      <w:r w:rsidR="007F006B">
        <w:rPr>
          <w:rFonts w:ascii="Bookman Old Style" w:hAnsi="Bookman Old Style"/>
          <w:sz w:val="28"/>
          <w:szCs w:val="28"/>
        </w:rPr>
        <w:t xml:space="preserve"> αιτούνται</w:t>
      </w:r>
      <w:r w:rsidR="009E73CA">
        <w:rPr>
          <w:rFonts w:ascii="Bookman Old Style" w:hAnsi="Bookman Old Style"/>
          <w:sz w:val="28"/>
          <w:szCs w:val="28"/>
        </w:rPr>
        <w:t xml:space="preserve"> τη διεξαγωγή έρευνας αναφορικά με την οικονομική κατάσταση του Εφεσείοντος, διάταγμα εναντίον του για πληρωμή του εξ’ αποφάσεως χρέους με μηνιαίες δόσεις, καθώς επίσης και διάταγμα για ακύρωση καταδολιευτικών μεταβιβάσεων ή επιβαρύνσεων επί της περιουσίας του. </w:t>
      </w:r>
    </w:p>
    <w:p w14:paraId="6FBD4D9D" w14:textId="45AD6B8E" w:rsidR="009E73CA" w:rsidRDefault="009E73CA" w:rsidP="009E73CA">
      <w:pPr>
        <w:tabs>
          <w:tab w:val="left" w:pos="567"/>
        </w:tabs>
        <w:spacing w:before="240" w:line="480" w:lineRule="auto"/>
        <w:rPr>
          <w:rFonts w:ascii="Bookman Old Style" w:hAnsi="Bookman Old Style"/>
          <w:sz w:val="28"/>
          <w:szCs w:val="28"/>
        </w:rPr>
      </w:pPr>
      <w:r>
        <w:rPr>
          <w:rFonts w:ascii="Bookman Old Style" w:hAnsi="Bookman Old Style"/>
          <w:sz w:val="28"/>
          <w:szCs w:val="28"/>
        </w:rPr>
        <w:tab/>
        <w:t xml:space="preserve">Η Αίτηση βασίζεται στα άρθρα 82-91 του περί Πολιτικής Δικονομίας (Τροποποιητικού) (Άρθρο 2) Νόμου του 1999 και στη Δ.48 των Θεσμών Πολιτικής Δικονομίας. </w:t>
      </w:r>
    </w:p>
    <w:p w14:paraId="4C57822F" w14:textId="5E33B72D" w:rsidR="009E73CA" w:rsidRDefault="00D860C7" w:rsidP="009E73CA">
      <w:pPr>
        <w:spacing w:before="240" w:line="480" w:lineRule="auto"/>
        <w:ind w:firstLine="720"/>
        <w:rPr>
          <w:rFonts w:ascii="Bookman Old Style" w:hAnsi="Bookman Old Style"/>
          <w:sz w:val="28"/>
          <w:szCs w:val="28"/>
        </w:rPr>
      </w:pPr>
      <w:r>
        <w:rPr>
          <w:rFonts w:ascii="Bookman Old Style" w:hAnsi="Bookman Old Style"/>
          <w:sz w:val="28"/>
          <w:szCs w:val="28"/>
        </w:rPr>
        <w:t>Στην υποστηρικτική της</w:t>
      </w:r>
      <w:r w:rsidR="009E73CA">
        <w:rPr>
          <w:rFonts w:ascii="Bookman Old Style" w:hAnsi="Bookman Old Style"/>
          <w:sz w:val="28"/>
          <w:szCs w:val="28"/>
        </w:rPr>
        <w:t xml:space="preserve"> Αίτηση</w:t>
      </w:r>
      <w:r>
        <w:rPr>
          <w:rFonts w:ascii="Bookman Old Style" w:hAnsi="Bookman Old Style"/>
          <w:sz w:val="28"/>
          <w:szCs w:val="28"/>
        </w:rPr>
        <w:t>ς</w:t>
      </w:r>
      <w:r w:rsidR="009E73CA">
        <w:rPr>
          <w:rFonts w:ascii="Bookman Old Style" w:hAnsi="Bookman Old Style"/>
          <w:sz w:val="28"/>
          <w:szCs w:val="28"/>
        </w:rPr>
        <w:t xml:space="preserve"> ένορκη δήλωση αναφέρε</w:t>
      </w:r>
      <w:r>
        <w:rPr>
          <w:rFonts w:ascii="Bookman Old Style" w:hAnsi="Bookman Old Style"/>
          <w:sz w:val="28"/>
          <w:szCs w:val="28"/>
        </w:rPr>
        <w:t>τα</w:t>
      </w:r>
      <w:r w:rsidR="009E73CA">
        <w:rPr>
          <w:rFonts w:ascii="Bookman Old Style" w:hAnsi="Bookman Old Style"/>
          <w:sz w:val="28"/>
          <w:szCs w:val="28"/>
        </w:rPr>
        <w:t xml:space="preserve">ι ότι </w:t>
      </w:r>
      <w:r>
        <w:rPr>
          <w:rFonts w:ascii="Bookman Old Style" w:hAnsi="Bookman Old Style"/>
          <w:sz w:val="28"/>
          <w:szCs w:val="28"/>
        </w:rPr>
        <w:t>τ</w:t>
      </w:r>
      <w:r w:rsidR="00D1294A">
        <w:rPr>
          <w:rFonts w:ascii="Bookman Old Style" w:hAnsi="Bookman Old Style"/>
          <w:sz w:val="28"/>
          <w:szCs w:val="28"/>
        </w:rPr>
        <w:t xml:space="preserve">ο </w:t>
      </w:r>
      <w:r w:rsidR="009E73CA">
        <w:rPr>
          <w:rFonts w:ascii="Bookman Old Style" w:hAnsi="Bookman Old Style"/>
          <w:sz w:val="28"/>
          <w:szCs w:val="28"/>
        </w:rPr>
        <w:t>δικηγορικό γραφείο Ε. Πελεκάνος &amp; Σια εκπροσώπησε τον Εφεσείοντα στην παρούσα Έφεση και ότι στις 16.7.2018 ο Εφεσείων καταδικάστηκε από το Δικαστήριο να καταβάλει στο γραφείο το ποσό των €1.703 πλέον ΦΠΑ και €398 πραγματικά έξοδα, όπως αυτά υπολογίστηκαν από τον Πρωτοκολλητή και εγκρίθηκαν από το Δικαστήριο. Αναφέρε</w:t>
      </w:r>
      <w:r>
        <w:rPr>
          <w:rFonts w:ascii="Bookman Old Style" w:hAnsi="Bookman Old Style"/>
          <w:sz w:val="28"/>
          <w:szCs w:val="28"/>
        </w:rPr>
        <w:t>τα</w:t>
      </w:r>
      <w:r w:rsidR="009E73CA">
        <w:rPr>
          <w:rFonts w:ascii="Bookman Old Style" w:hAnsi="Bookman Old Style"/>
          <w:sz w:val="28"/>
          <w:szCs w:val="28"/>
        </w:rPr>
        <w:t xml:space="preserve">ι επίσης ότι στις 3.9.2019 καταχωρίστηκε ένταλμα κινητών εναντίον του Εφεσείοντος το οποίο επιστράφηκε ανεκτέλεστο και επομένως ο Εφεσείων οφείλει επιπλέον το ποσό των €145. </w:t>
      </w:r>
      <w:r w:rsidR="00D1294A">
        <w:rPr>
          <w:rFonts w:ascii="Bookman Old Style" w:hAnsi="Bookman Old Style"/>
          <w:sz w:val="28"/>
          <w:szCs w:val="28"/>
        </w:rPr>
        <w:t xml:space="preserve">Αναφέρεται ακόμα </w:t>
      </w:r>
      <w:r w:rsidR="009E73CA">
        <w:rPr>
          <w:rFonts w:ascii="Bookman Old Style" w:hAnsi="Bookman Old Style"/>
          <w:sz w:val="28"/>
          <w:szCs w:val="28"/>
        </w:rPr>
        <w:t xml:space="preserve">ότι ο </w:t>
      </w:r>
      <w:r w:rsidR="009E73CA">
        <w:rPr>
          <w:rFonts w:ascii="Bookman Old Style" w:hAnsi="Bookman Old Style"/>
          <w:sz w:val="28"/>
          <w:szCs w:val="28"/>
        </w:rPr>
        <w:lastRenderedPageBreak/>
        <w:t>Εφεσείων δεν έχει πληρώσει οποιοδήποτε ποσό</w:t>
      </w:r>
      <w:r w:rsidR="00D1294A">
        <w:rPr>
          <w:rFonts w:ascii="Bookman Old Style" w:hAnsi="Bookman Old Style"/>
          <w:sz w:val="28"/>
          <w:szCs w:val="28"/>
        </w:rPr>
        <w:t xml:space="preserve"> και</w:t>
      </w:r>
      <w:r>
        <w:rPr>
          <w:rFonts w:ascii="Bookman Old Style" w:hAnsi="Bookman Old Style"/>
          <w:sz w:val="28"/>
          <w:szCs w:val="28"/>
        </w:rPr>
        <w:t xml:space="preserve"> </w:t>
      </w:r>
      <w:r w:rsidR="009E73CA">
        <w:rPr>
          <w:rFonts w:ascii="Bookman Old Style" w:hAnsi="Bookman Old Style"/>
          <w:sz w:val="28"/>
          <w:szCs w:val="28"/>
        </w:rPr>
        <w:t xml:space="preserve">ότι είναι αδύνατο </w:t>
      </w:r>
      <w:r w:rsidR="007F006B">
        <w:rPr>
          <w:rFonts w:ascii="Bookman Old Style" w:hAnsi="Bookman Old Style"/>
          <w:sz w:val="28"/>
          <w:szCs w:val="28"/>
        </w:rPr>
        <w:t xml:space="preserve">το οφειλόμενο ποσό </w:t>
      </w:r>
      <w:r w:rsidR="009E73CA">
        <w:rPr>
          <w:rFonts w:ascii="Bookman Old Style" w:hAnsi="Bookman Old Style"/>
          <w:sz w:val="28"/>
          <w:szCs w:val="28"/>
        </w:rPr>
        <w:t xml:space="preserve">να ικανοποιηθεί με πώληση περιουσίας ή κατάσχεση εις χείρας </w:t>
      </w:r>
      <w:r w:rsidR="00D1294A">
        <w:rPr>
          <w:rFonts w:ascii="Bookman Old Style" w:hAnsi="Bookman Old Style"/>
          <w:sz w:val="28"/>
          <w:szCs w:val="28"/>
        </w:rPr>
        <w:t xml:space="preserve">τρίτου. Προβάλλεται περαιτέρω </w:t>
      </w:r>
      <w:r w:rsidR="009E73CA">
        <w:rPr>
          <w:rFonts w:ascii="Bookman Old Style" w:hAnsi="Bookman Old Style"/>
          <w:sz w:val="28"/>
          <w:szCs w:val="28"/>
        </w:rPr>
        <w:t xml:space="preserve">ότι ο Εφεσείων έχει τακτική εργασία και είναι σε θέση να πληρώνει το ποσό των €500 </w:t>
      </w:r>
      <w:r w:rsidR="00997D83">
        <w:rPr>
          <w:rFonts w:ascii="Bookman Old Style" w:hAnsi="Bookman Old Style"/>
          <w:sz w:val="28"/>
          <w:szCs w:val="28"/>
        </w:rPr>
        <w:t xml:space="preserve">μηνιαίως </w:t>
      </w:r>
      <w:r w:rsidR="009E73CA">
        <w:rPr>
          <w:rFonts w:ascii="Bookman Old Style" w:hAnsi="Bookman Old Style"/>
          <w:sz w:val="28"/>
          <w:szCs w:val="28"/>
        </w:rPr>
        <w:t>και ότι πιθανόν να έχει προβεί σε δωρεά, παράδοση ή μεταβίβαση περιουσιακών στοιχείων και σε επιβάρυνση, διακίνηση και απόκρυψη τους με στόχο να παρεμποδίσει το</w:t>
      </w:r>
      <w:r w:rsidR="00F71F85">
        <w:rPr>
          <w:rFonts w:ascii="Bookman Old Style" w:hAnsi="Bookman Old Style"/>
          <w:sz w:val="28"/>
          <w:szCs w:val="28"/>
        </w:rPr>
        <w:t>υς</w:t>
      </w:r>
      <w:r w:rsidR="009E73CA">
        <w:rPr>
          <w:rFonts w:ascii="Bookman Old Style" w:hAnsi="Bookman Old Style"/>
          <w:sz w:val="28"/>
          <w:szCs w:val="28"/>
        </w:rPr>
        <w:t xml:space="preserve"> Αιτητ</w:t>
      </w:r>
      <w:r w:rsidR="00F71F85">
        <w:rPr>
          <w:rFonts w:ascii="Bookman Old Style" w:hAnsi="Bookman Old Style"/>
          <w:sz w:val="28"/>
          <w:szCs w:val="28"/>
        </w:rPr>
        <w:t>ές</w:t>
      </w:r>
      <w:r w:rsidR="009E73CA">
        <w:rPr>
          <w:rFonts w:ascii="Bookman Old Style" w:hAnsi="Bookman Old Style"/>
          <w:sz w:val="28"/>
          <w:szCs w:val="28"/>
        </w:rPr>
        <w:t xml:space="preserve"> από την είσπραξη </w:t>
      </w:r>
      <w:r w:rsidR="00F71F85">
        <w:rPr>
          <w:rFonts w:ascii="Bookman Old Style" w:hAnsi="Bookman Old Style"/>
          <w:sz w:val="28"/>
          <w:szCs w:val="28"/>
        </w:rPr>
        <w:t>του</w:t>
      </w:r>
      <w:r w:rsidR="00FC2EFE">
        <w:rPr>
          <w:rFonts w:ascii="Bookman Old Style" w:hAnsi="Bookman Old Style"/>
          <w:sz w:val="28"/>
          <w:szCs w:val="28"/>
        </w:rPr>
        <w:t xml:space="preserve"> λαβείν τους</w:t>
      </w:r>
      <w:r w:rsidR="009E73CA">
        <w:rPr>
          <w:rFonts w:ascii="Bookman Old Style" w:hAnsi="Bookman Old Style"/>
          <w:sz w:val="28"/>
          <w:szCs w:val="28"/>
        </w:rPr>
        <w:t xml:space="preserve">. </w:t>
      </w:r>
    </w:p>
    <w:p w14:paraId="71E1E6CB" w14:textId="06597ACB" w:rsidR="009E73CA" w:rsidRDefault="009E73CA" w:rsidP="009E73CA">
      <w:pPr>
        <w:tabs>
          <w:tab w:val="left" w:pos="567"/>
        </w:tabs>
        <w:spacing w:before="240" w:line="480" w:lineRule="auto"/>
        <w:rPr>
          <w:rFonts w:ascii="Bookman Old Style" w:hAnsi="Bookman Old Style"/>
          <w:sz w:val="28"/>
          <w:szCs w:val="28"/>
        </w:rPr>
      </w:pPr>
      <w:r>
        <w:rPr>
          <w:rFonts w:ascii="Bookman Old Style" w:hAnsi="Bookman Old Style"/>
          <w:sz w:val="28"/>
          <w:szCs w:val="28"/>
        </w:rPr>
        <w:tab/>
        <w:t xml:space="preserve">Ο Εφεσείων καταχώρισε ένσταση, ο λόγος της οποίας είναι η μη ύπαρξη οικονομικής δυνατότητας καταβολής οποιουδήποτε ποσού. Η ένσταση συνοδεύεται από ένορκη δήλωση του ίδιου του Εφεσείοντος στην οποία περιγράφει την οικογενειακή και οικονομική του κατάσταση, καταλήγοντας ότι αδυνατεί να καταβάλλει οποιοδήποτε ποσό και επισυνάπτει σχετικά έγγραφα, όπως δικαστικό διάταγμα διατροφής τέκνου, καταστάσεις Κοινωνικών Ασφαλίσεων, λογαριασμούς για το ρεύμα και το νερό και ενοικιαστήριο έγγραφο.  </w:t>
      </w:r>
    </w:p>
    <w:p w14:paraId="025FF3F5" w14:textId="479AA122" w:rsidR="009E73CA" w:rsidRPr="00C71187" w:rsidRDefault="009E73CA" w:rsidP="00C71187">
      <w:pPr>
        <w:tabs>
          <w:tab w:val="left" w:pos="567"/>
        </w:tabs>
        <w:spacing w:before="240" w:line="480" w:lineRule="auto"/>
        <w:rPr>
          <w:rFonts w:ascii="Bookman Old Style" w:hAnsi="Bookman Old Style"/>
          <w:sz w:val="28"/>
          <w:szCs w:val="28"/>
        </w:rPr>
      </w:pPr>
      <w:r>
        <w:rPr>
          <w:rFonts w:ascii="Bookman Old Style" w:hAnsi="Bookman Old Style"/>
          <w:sz w:val="28"/>
          <w:szCs w:val="28"/>
        </w:rPr>
        <w:tab/>
        <w:t xml:space="preserve">Το πρώτο θέμα το οποίο χρήζει εξέτασης είναι το νομότυπο της υπό κρίση Αίτησης. Παρόλο που αυτό το ζήτημα δεν ηγέρθη στα πλαίσια </w:t>
      </w:r>
      <w:r w:rsidR="00DB6832">
        <w:rPr>
          <w:rFonts w:ascii="Bookman Old Style" w:hAnsi="Bookman Old Style"/>
          <w:sz w:val="28"/>
          <w:szCs w:val="28"/>
        </w:rPr>
        <w:t>της υπό κρίση διαδικασίας</w:t>
      </w:r>
      <w:r>
        <w:rPr>
          <w:rFonts w:ascii="Bookman Old Style" w:hAnsi="Bookman Old Style"/>
          <w:sz w:val="28"/>
          <w:szCs w:val="28"/>
        </w:rPr>
        <w:t xml:space="preserve">, εντούτοις το Δικαστήριο, κατά την ενάσκηση της σύμφυτης εξουσίας του, οφείλει να διασφαλίσει την εγκυρότητα και </w:t>
      </w:r>
      <w:r>
        <w:rPr>
          <w:rFonts w:ascii="Bookman Old Style" w:hAnsi="Bookman Old Style"/>
          <w:sz w:val="28"/>
          <w:szCs w:val="28"/>
        </w:rPr>
        <w:lastRenderedPageBreak/>
        <w:t xml:space="preserve">νομιμότητα της διαδικασίας ενώπιον του ως απαραίτητη προϋπόθεση για την προώθηση και εξέταση της Αίτησης. </w:t>
      </w:r>
      <w:r w:rsidR="00F01ECF">
        <w:rPr>
          <w:rFonts w:ascii="Bookman Old Style" w:hAnsi="Bookman Old Style"/>
          <w:color w:val="000000"/>
          <w:sz w:val="28"/>
          <w:szCs w:val="28"/>
        </w:rPr>
        <w:t xml:space="preserve">Στην υπόθεση </w:t>
      </w:r>
      <w:r w:rsidR="00F01ECF" w:rsidRPr="00C71187">
        <w:rPr>
          <w:rFonts w:ascii="Bookman Old Style" w:hAnsi="Bookman Old Style"/>
          <w:b/>
          <w:bCs/>
          <w:i/>
          <w:iCs/>
          <w:color w:val="000000"/>
          <w:sz w:val="28"/>
          <w:szCs w:val="28"/>
        </w:rPr>
        <w:t>Τουβλοποιεία Παλα</w:t>
      </w:r>
      <w:r w:rsidR="00C874E2">
        <w:rPr>
          <w:rFonts w:ascii="Bookman Old Style" w:hAnsi="Bookman Old Style"/>
          <w:b/>
          <w:bCs/>
          <w:i/>
          <w:iCs/>
          <w:color w:val="000000"/>
          <w:sz w:val="28"/>
          <w:szCs w:val="28"/>
        </w:rPr>
        <w:t>ικύ</w:t>
      </w:r>
      <w:r w:rsidR="00F01ECF" w:rsidRPr="00C71187">
        <w:rPr>
          <w:rFonts w:ascii="Bookman Old Style" w:hAnsi="Bookman Old Style"/>
          <w:b/>
          <w:bCs/>
          <w:i/>
          <w:iCs/>
          <w:color w:val="000000"/>
          <w:sz w:val="28"/>
          <w:szCs w:val="28"/>
        </w:rPr>
        <w:t xml:space="preserve">θρου Γίγας Λτδ </w:t>
      </w:r>
      <w:r w:rsidR="00F01ECF" w:rsidRPr="00C71187">
        <w:rPr>
          <w:rFonts w:ascii="Bookman Old Style" w:hAnsi="Bookman Old Style"/>
          <w:b/>
          <w:bCs/>
          <w:i/>
          <w:iCs/>
          <w:color w:val="000000"/>
          <w:sz w:val="28"/>
          <w:szCs w:val="28"/>
          <w:lang w:val="en-US"/>
        </w:rPr>
        <w:t>v</w:t>
      </w:r>
      <w:r w:rsidR="00F01ECF" w:rsidRPr="00C71187">
        <w:rPr>
          <w:rFonts w:ascii="Bookman Old Style" w:hAnsi="Bookman Old Style"/>
          <w:b/>
          <w:bCs/>
          <w:i/>
          <w:iCs/>
          <w:color w:val="000000"/>
          <w:sz w:val="28"/>
          <w:szCs w:val="28"/>
        </w:rPr>
        <w:t xml:space="preserve"> Ουστά (Αρ. 1) (1994) 1 </w:t>
      </w:r>
      <w:r w:rsidR="00F01ECF">
        <w:rPr>
          <w:rFonts w:ascii="Bookman Old Style" w:hAnsi="Bookman Old Style"/>
          <w:b/>
          <w:bCs/>
          <w:i/>
          <w:iCs/>
          <w:color w:val="000000"/>
          <w:sz w:val="28"/>
          <w:szCs w:val="28"/>
        </w:rPr>
        <w:t>Α.Α.Δ.</w:t>
      </w:r>
      <w:r w:rsidR="00F01ECF" w:rsidRPr="00C71187">
        <w:rPr>
          <w:rFonts w:ascii="Bookman Old Style" w:hAnsi="Bookman Old Style"/>
          <w:b/>
          <w:bCs/>
          <w:i/>
          <w:iCs/>
          <w:color w:val="000000"/>
          <w:sz w:val="28"/>
          <w:szCs w:val="28"/>
        </w:rPr>
        <w:t xml:space="preserve"> 109</w:t>
      </w:r>
      <w:r w:rsidR="00F01ECF">
        <w:rPr>
          <w:rFonts w:ascii="Bookman Old Style" w:hAnsi="Bookman Old Style"/>
          <w:color w:val="000000"/>
          <w:sz w:val="28"/>
          <w:szCs w:val="28"/>
        </w:rPr>
        <w:t xml:space="preserve">, τονίστηκε ότι </w:t>
      </w:r>
      <w:r w:rsidR="00F01ECF" w:rsidRPr="00C71187">
        <w:rPr>
          <w:rFonts w:ascii="Bookman Old Style" w:hAnsi="Bookman Old Style"/>
          <w:color w:val="000000"/>
          <w:spacing w:val="-2"/>
          <w:sz w:val="28"/>
          <w:szCs w:val="28"/>
          <w:shd w:val="clear" w:color="auto" w:fill="FFFFFF"/>
        </w:rPr>
        <w:t>σύμφυτη είναι η δικαιοδοσία </w:t>
      </w:r>
      <w:r w:rsidR="00F01ECF" w:rsidRPr="00C71187">
        <w:rPr>
          <w:rFonts w:ascii="Bookman Old Style" w:hAnsi="Bookman Old Style"/>
          <w:color w:val="000000"/>
          <w:spacing w:val="-3"/>
          <w:sz w:val="28"/>
          <w:szCs w:val="28"/>
          <w:shd w:val="clear" w:color="auto" w:fill="FFFFFF"/>
        </w:rPr>
        <w:t>του δικαστηρίου η οποία ενυπάρχει λόγω της ταύτισης της με το δι</w:t>
      </w:r>
      <w:r w:rsidR="00F01ECF" w:rsidRPr="00C71187">
        <w:rPr>
          <w:rFonts w:ascii="Bookman Old Style" w:hAnsi="Bookman Old Style"/>
          <w:color w:val="000000"/>
          <w:spacing w:val="-2"/>
          <w:sz w:val="28"/>
          <w:szCs w:val="28"/>
          <w:shd w:val="clear" w:color="auto" w:fill="FFFFFF"/>
        </w:rPr>
        <w:t>καστήριο και της αναγκαιότητας ύπαρξης της για τη λειτουργία του </w:t>
      </w:r>
      <w:r w:rsidR="00F01ECF" w:rsidRPr="00C71187">
        <w:rPr>
          <w:rFonts w:ascii="Bookman Old Style" w:hAnsi="Bookman Old Style"/>
          <w:color w:val="000000"/>
          <w:sz w:val="28"/>
          <w:szCs w:val="28"/>
          <w:shd w:val="clear" w:color="auto" w:fill="FFFFFF"/>
        </w:rPr>
        <w:t>δικαστηρίου ως δικαστηρίου δικαίου. </w:t>
      </w:r>
      <w:r w:rsidR="00DF2048" w:rsidRPr="00DF2048">
        <w:rPr>
          <w:rFonts w:ascii="Bookman Old Style" w:hAnsi="Bookman Old Style"/>
          <w:color w:val="000000"/>
          <w:sz w:val="28"/>
          <w:szCs w:val="28"/>
        </w:rPr>
        <w:t xml:space="preserve"> </w:t>
      </w:r>
    </w:p>
    <w:p w14:paraId="361EBB5F" w14:textId="0BB416B9" w:rsidR="009E73CA" w:rsidRDefault="009E73CA" w:rsidP="00C71187">
      <w:pPr>
        <w:tabs>
          <w:tab w:val="left" w:pos="567"/>
        </w:tabs>
        <w:spacing w:before="240" w:line="480" w:lineRule="auto"/>
        <w:rPr>
          <w:rFonts w:ascii="Bookman Old Style" w:hAnsi="Bookman Old Style"/>
          <w:sz w:val="28"/>
          <w:szCs w:val="28"/>
        </w:rPr>
      </w:pPr>
      <w:r w:rsidRPr="00C71187">
        <w:rPr>
          <w:rFonts w:ascii="Bookman Old Style" w:hAnsi="Bookman Old Style"/>
          <w:sz w:val="28"/>
          <w:szCs w:val="28"/>
        </w:rPr>
        <w:tab/>
        <w:t xml:space="preserve">Αυτό </w:t>
      </w:r>
      <w:r w:rsidR="006E2DCC">
        <w:rPr>
          <w:rFonts w:ascii="Bookman Old Style" w:hAnsi="Bookman Old Style"/>
          <w:sz w:val="28"/>
          <w:szCs w:val="28"/>
        </w:rPr>
        <w:t xml:space="preserve">το ζήτημα </w:t>
      </w:r>
      <w:r w:rsidR="00F01ECF">
        <w:rPr>
          <w:rFonts w:ascii="Bookman Old Style" w:hAnsi="Bookman Old Style"/>
          <w:sz w:val="28"/>
          <w:szCs w:val="28"/>
        </w:rPr>
        <w:t xml:space="preserve">του νομότυπου της Αίτησης </w:t>
      </w:r>
      <w:r w:rsidRPr="00C71187">
        <w:rPr>
          <w:rFonts w:ascii="Bookman Old Style" w:hAnsi="Bookman Old Style"/>
          <w:sz w:val="28"/>
          <w:szCs w:val="28"/>
        </w:rPr>
        <w:t>εγείρεται καθότι</w:t>
      </w:r>
      <w:r w:rsidR="008D36B7">
        <w:rPr>
          <w:rFonts w:ascii="Bookman Old Style" w:hAnsi="Bookman Old Style"/>
          <w:sz w:val="28"/>
          <w:szCs w:val="28"/>
        </w:rPr>
        <w:t xml:space="preserve"> </w:t>
      </w:r>
      <w:r w:rsidRPr="00C71187">
        <w:rPr>
          <w:rFonts w:ascii="Bookman Old Style" w:hAnsi="Bookman Old Style"/>
          <w:sz w:val="28"/>
          <w:szCs w:val="28"/>
        </w:rPr>
        <w:t>διαφαίνεται ότι ο Εφεσείων εκπροσωπείτο από το δικηγορικό γραφείο</w:t>
      </w:r>
      <w:r>
        <w:rPr>
          <w:rFonts w:ascii="Bookman Old Style" w:hAnsi="Bookman Old Style"/>
          <w:sz w:val="28"/>
          <w:szCs w:val="28"/>
        </w:rPr>
        <w:t xml:space="preserve"> Ε. Πελεκάνος &amp; Σια το οποίο και καταχώρισε την έφεση εκ μέρους του. Με ειδοποίηση ημερ. 29.7.</w:t>
      </w:r>
      <w:r w:rsidR="00941D05">
        <w:rPr>
          <w:rFonts w:ascii="Bookman Old Style" w:hAnsi="Bookman Old Style"/>
          <w:sz w:val="28"/>
          <w:szCs w:val="28"/>
        </w:rPr>
        <w:t>20</w:t>
      </w:r>
      <w:r>
        <w:rPr>
          <w:rFonts w:ascii="Bookman Old Style" w:hAnsi="Bookman Old Style"/>
          <w:sz w:val="28"/>
          <w:szCs w:val="28"/>
        </w:rPr>
        <w:t>15, υπογεγραμμένη από τον ίδιο τον Εφεσείοντα, και με τη γραπτή συγκατάθεση της άλλης πλευράς, η έφεση αποσύρθηκε και απορρίφθηκε. Τα έξοδα του</w:t>
      </w:r>
      <w:r w:rsidR="00941D05">
        <w:rPr>
          <w:rFonts w:ascii="Bookman Old Style" w:hAnsi="Bookman Old Style"/>
          <w:sz w:val="28"/>
          <w:szCs w:val="28"/>
        </w:rPr>
        <w:t xml:space="preserve"> δικηγορικού γραφείου </w:t>
      </w:r>
      <w:r>
        <w:rPr>
          <w:rFonts w:ascii="Bookman Old Style" w:hAnsi="Bookman Old Style"/>
          <w:sz w:val="28"/>
          <w:szCs w:val="28"/>
        </w:rPr>
        <w:t xml:space="preserve">έχουν ψηφιστεί από </w:t>
      </w:r>
      <w:r w:rsidR="00B43BF2">
        <w:rPr>
          <w:rFonts w:ascii="Bookman Old Style" w:hAnsi="Bookman Old Style"/>
          <w:sz w:val="28"/>
          <w:szCs w:val="28"/>
        </w:rPr>
        <w:t xml:space="preserve">τον </w:t>
      </w:r>
      <w:r>
        <w:rPr>
          <w:rFonts w:ascii="Bookman Old Style" w:hAnsi="Bookman Old Style"/>
          <w:sz w:val="28"/>
          <w:szCs w:val="28"/>
        </w:rPr>
        <w:t>Πρωτοκολλητή του Ανωτάτου Δικαστηρίου ο οποίος στις 6.7.</w:t>
      </w:r>
      <w:r w:rsidR="00941D05">
        <w:rPr>
          <w:rFonts w:ascii="Bookman Old Style" w:hAnsi="Bookman Old Style"/>
          <w:sz w:val="28"/>
          <w:szCs w:val="28"/>
        </w:rPr>
        <w:t>20</w:t>
      </w:r>
      <w:r>
        <w:rPr>
          <w:rFonts w:ascii="Bookman Old Style" w:hAnsi="Bookman Old Style"/>
          <w:sz w:val="28"/>
          <w:szCs w:val="28"/>
        </w:rPr>
        <w:t xml:space="preserve">18 εξέδωσε σχετικό πιστοποιητικό ψήφισης των εξόδων ως αναφέρεται ανωτέρω. Επομένως, ο ισχυρισμός του </w:t>
      </w:r>
      <w:r w:rsidR="008D36B7">
        <w:rPr>
          <w:rFonts w:ascii="Bookman Old Style" w:hAnsi="Bookman Old Style"/>
          <w:sz w:val="28"/>
          <w:szCs w:val="28"/>
        </w:rPr>
        <w:t>Αιτητή</w:t>
      </w:r>
      <w:r w:rsidR="00EF1A67">
        <w:rPr>
          <w:rFonts w:ascii="Bookman Old Style" w:hAnsi="Bookman Old Style"/>
          <w:sz w:val="28"/>
          <w:szCs w:val="28"/>
        </w:rPr>
        <w:t xml:space="preserve"> </w:t>
      </w:r>
      <w:r>
        <w:rPr>
          <w:rFonts w:ascii="Bookman Old Style" w:hAnsi="Bookman Old Style"/>
          <w:sz w:val="28"/>
          <w:szCs w:val="28"/>
        </w:rPr>
        <w:t>πως τα έξοδα υπολογίστηκαν υπέρ του</w:t>
      </w:r>
      <w:r w:rsidR="00710010">
        <w:rPr>
          <w:rFonts w:ascii="Bookman Old Style" w:hAnsi="Bookman Old Style"/>
          <w:sz w:val="28"/>
          <w:szCs w:val="28"/>
        </w:rPr>
        <w:t>ς</w:t>
      </w:r>
      <w:r>
        <w:rPr>
          <w:rFonts w:ascii="Bookman Old Style" w:hAnsi="Bookman Old Style"/>
          <w:sz w:val="28"/>
          <w:szCs w:val="28"/>
        </w:rPr>
        <w:t xml:space="preserve"> και εναντίον του Εφεσείοντος δεν επιβεβαιώνεται αλλά αντιθέτως αναιρείται από το περιεχόμενο του φακέλου της έφεσης. Σημειώνεται ότι στην ένορκη δήλωση που συνοδεύει την ένσταση</w:t>
      </w:r>
      <w:r w:rsidR="00710010">
        <w:rPr>
          <w:rFonts w:ascii="Bookman Old Style" w:hAnsi="Bookman Old Style"/>
          <w:sz w:val="28"/>
          <w:szCs w:val="28"/>
        </w:rPr>
        <w:t>,</w:t>
      </w:r>
      <w:r>
        <w:rPr>
          <w:rFonts w:ascii="Bookman Old Style" w:hAnsi="Bookman Old Style"/>
          <w:sz w:val="28"/>
          <w:szCs w:val="28"/>
        </w:rPr>
        <w:t xml:space="preserve"> ο Καθ’ ου αρνείται τον εν λόγω ισχυρισμό. </w:t>
      </w:r>
    </w:p>
    <w:p w14:paraId="5406FC49" w14:textId="176CE00A" w:rsidR="009E73CA" w:rsidRDefault="009E73CA" w:rsidP="009E73CA">
      <w:pPr>
        <w:tabs>
          <w:tab w:val="left" w:pos="567"/>
        </w:tabs>
        <w:spacing w:before="240" w:line="480" w:lineRule="auto"/>
        <w:rPr>
          <w:rFonts w:ascii="Bookman Old Style" w:hAnsi="Bookman Old Style"/>
          <w:sz w:val="28"/>
          <w:szCs w:val="28"/>
        </w:rPr>
      </w:pPr>
      <w:r>
        <w:rPr>
          <w:rFonts w:ascii="Bookman Old Style" w:hAnsi="Bookman Old Style"/>
          <w:sz w:val="28"/>
          <w:szCs w:val="28"/>
        </w:rPr>
        <w:lastRenderedPageBreak/>
        <w:tab/>
        <w:t xml:space="preserve">Τα </w:t>
      </w:r>
      <w:r w:rsidRPr="00E4139A">
        <w:rPr>
          <w:rFonts w:ascii="Bookman Old Style" w:hAnsi="Bookman Old Style"/>
          <w:b/>
          <w:bCs/>
          <w:i/>
          <w:iCs/>
          <w:sz w:val="28"/>
          <w:szCs w:val="28"/>
        </w:rPr>
        <w:t>άρθρα 82-91 του περί Πολιτικής Δικονομίας Νόμου, Κεφ. 6</w:t>
      </w:r>
      <w:r w:rsidRPr="00E4139A">
        <w:rPr>
          <w:rFonts w:ascii="Bookman Old Style" w:hAnsi="Bookman Old Style"/>
          <w:sz w:val="28"/>
          <w:szCs w:val="28"/>
        </w:rPr>
        <w:t>,</w:t>
      </w:r>
      <w:r>
        <w:rPr>
          <w:rFonts w:ascii="Bookman Old Style" w:hAnsi="Bookman Old Style"/>
          <w:sz w:val="28"/>
          <w:szCs w:val="28"/>
        </w:rPr>
        <w:t xml:space="preserve"> στα οποία στηρίζεται η Αίτηση, αφορούν στην εξέταση του οφειλέτη για σκοπούς εκτέλεσης δικαστικής απόφασης. Το </w:t>
      </w:r>
      <w:r w:rsidRPr="00E4139A">
        <w:rPr>
          <w:rFonts w:ascii="Bookman Old Style" w:hAnsi="Bookman Old Style"/>
          <w:b/>
          <w:bCs/>
          <w:i/>
          <w:iCs/>
          <w:sz w:val="28"/>
          <w:szCs w:val="28"/>
        </w:rPr>
        <w:t>άρθρο 82</w:t>
      </w:r>
      <w:r>
        <w:rPr>
          <w:rFonts w:ascii="Bookman Old Style" w:hAnsi="Bookman Old Style"/>
          <w:sz w:val="28"/>
          <w:szCs w:val="28"/>
        </w:rPr>
        <w:t xml:space="preserve"> προνοεί για τη δυνατότητα υποβολής αίτησης στο Δικαστήριο από τον εξ αποφάσεως πιστωτή για σκοπούς εξέτασης του εξ αποφάσεις οφειλέτη προς ικανοποίηση της απόφασης. Στο εν λόγω άρθρο γίνεται ρητή αναφορά ότι τέτοια δυνατότητα παρέχεται «</w:t>
      </w:r>
      <w:r w:rsidRPr="00CD726F">
        <w:rPr>
          <w:rFonts w:ascii="Bookman Old Style" w:hAnsi="Bookman Old Style"/>
          <w:i/>
          <w:iCs/>
          <w:sz w:val="28"/>
          <w:szCs w:val="28"/>
        </w:rPr>
        <w:t>ανεξάρτητα αν εκδόθηκε ή όχι οποιοδήποτε ένταλμα εκτέλεσης</w:t>
      </w:r>
      <w:r>
        <w:rPr>
          <w:rFonts w:ascii="Bookman Old Style" w:hAnsi="Bookman Old Style"/>
          <w:sz w:val="28"/>
          <w:szCs w:val="28"/>
        </w:rPr>
        <w:t xml:space="preserve">». Σύμφωνα με το ερμηνευτικό </w:t>
      </w:r>
      <w:r w:rsidRPr="009E73CA">
        <w:rPr>
          <w:rFonts w:ascii="Bookman Old Style" w:hAnsi="Bookman Old Style"/>
          <w:b/>
          <w:bCs/>
          <w:i/>
          <w:iCs/>
          <w:sz w:val="28"/>
          <w:szCs w:val="28"/>
        </w:rPr>
        <w:t>άρθρο 2 του Κεφ. 6</w:t>
      </w:r>
      <w:r>
        <w:rPr>
          <w:rFonts w:ascii="Bookman Old Style" w:hAnsi="Bookman Old Style"/>
          <w:sz w:val="28"/>
          <w:szCs w:val="28"/>
        </w:rPr>
        <w:t>, το «</w:t>
      </w:r>
      <w:r w:rsidRPr="002C4079">
        <w:rPr>
          <w:rFonts w:ascii="Bookman Old Style" w:hAnsi="Bookman Old Style"/>
          <w:i/>
          <w:iCs/>
          <w:sz w:val="28"/>
          <w:szCs w:val="28"/>
        </w:rPr>
        <w:t>Δικαστήριο</w:t>
      </w:r>
      <w:r>
        <w:rPr>
          <w:rFonts w:ascii="Bookman Old Style" w:hAnsi="Bookman Old Style"/>
          <w:sz w:val="28"/>
          <w:szCs w:val="28"/>
        </w:rPr>
        <w:t>» περιλαμβάνει και το Ανώτατο Δικαστήριο ή οποιο</w:t>
      </w:r>
      <w:r w:rsidR="001872EC">
        <w:rPr>
          <w:rFonts w:ascii="Bookman Old Style" w:hAnsi="Bookman Old Style"/>
          <w:sz w:val="28"/>
          <w:szCs w:val="28"/>
        </w:rPr>
        <w:t>ν</w:t>
      </w:r>
      <w:r>
        <w:rPr>
          <w:rFonts w:ascii="Bookman Old Style" w:hAnsi="Bookman Old Style"/>
          <w:sz w:val="28"/>
          <w:szCs w:val="28"/>
        </w:rPr>
        <w:t xml:space="preserve">δήποτε Δικαστή αυτού αντίστοιχα. </w:t>
      </w:r>
    </w:p>
    <w:p w14:paraId="2B096605" w14:textId="7BFB49B4" w:rsidR="009E73CA" w:rsidRPr="005D51B2" w:rsidRDefault="009E73CA" w:rsidP="009E73CA">
      <w:pPr>
        <w:tabs>
          <w:tab w:val="left" w:pos="567"/>
        </w:tabs>
        <w:spacing w:before="240" w:line="480" w:lineRule="auto"/>
        <w:rPr>
          <w:rFonts w:ascii="Bookman Old Style" w:hAnsi="Bookman Old Style"/>
          <w:sz w:val="28"/>
          <w:szCs w:val="28"/>
        </w:rPr>
      </w:pPr>
      <w:r>
        <w:rPr>
          <w:rFonts w:ascii="Bookman Old Style" w:hAnsi="Bookman Old Style"/>
          <w:sz w:val="28"/>
          <w:szCs w:val="28"/>
        </w:rPr>
        <w:tab/>
        <w:t xml:space="preserve">Είναι σαφές ότι τα προαναφερόμενα άρθρα του Κεφ. 6 αναφέρονται σε εκτέλεση δικαστικής απόφασης. </w:t>
      </w:r>
    </w:p>
    <w:p w14:paraId="470BBA42" w14:textId="17834D97" w:rsidR="009E73CA" w:rsidRDefault="009E73CA" w:rsidP="009E73CA">
      <w:pPr>
        <w:tabs>
          <w:tab w:val="left" w:pos="567"/>
        </w:tabs>
        <w:spacing w:before="240" w:line="480" w:lineRule="auto"/>
        <w:rPr>
          <w:rFonts w:ascii="Bookman Old Style" w:hAnsi="Bookman Old Style"/>
          <w:sz w:val="28"/>
          <w:szCs w:val="28"/>
        </w:rPr>
      </w:pPr>
      <w:r>
        <w:rPr>
          <w:rFonts w:ascii="Bookman Old Style" w:hAnsi="Bookman Old Style"/>
          <w:sz w:val="28"/>
          <w:szCs w:val="28"/>
        </w:rPr>
        <w:tab/>
        <w:t xml:space="preserve">Εδώ αξίζει να σημειωθεί ότι το ζήτημα εκτέλεσης </w:t>
      </w:r>
      <w:r w:rsidR="0041019B">
        <w:rPr>
          <w:rFonts w:ascii="Bookman Old Style" w:hAnsi="Bookman Old Style"/>
          <w:sz w:val="28"/>
          <w:szCs w:val="28"/>
        </w:rPr>
        <w:t xml:space="preserve">κατ’ έφεση </w:t>
      </w:r>
      <w:r>
        <w:rPr>
          <w:rFonts w:ascii="Bookman Old Style" w:hAnsi="Bookman Old Style"/>
          <w:sz w:val="28"/>
          <w:szCs w:val="28"/>
        </w:rPr>
        <w:t xml:space="preserve">αποφάσεων και διαταγών του Ανωτάτου Δικαστηρίου ρυθμίζεται από τη </w:t>
      </w:r>
      <w:r w:rsidRPr="009E73CA">
        <w:rPr>
          <w:rFonts w:ascii="Bookman Old Style" w:hAnsi="Bookman Old Style"/>
          <w:b/>
          <w:bCs/>
          <w:i/>
          <w:iCs/>
          <w:sz w:val="28"/>
          <w:szCs w:val="28"/>
        </w:rPr>
        <w:t>Δ.35 των Θεσμών Πολιτικής Δικονομίας</w:t>
      </w:r>
      <w:r>
        <w:rPr>
          <w:rFonts w:ascii="Bookman Old Style" w:hAnsi="Bookman Old Style"/>
          <w:sz w:val="28"/>
          <w:szCs w:val="28"/>
        </w:rPr>
        <w:t xml:space="preserve">. Συγκεκριμένα, η </w:t>
      </w:r>
      <w:r w:rsidRPr="00363F25">
        <w:rPr>
          <w:rFonts w:ascii="Bookman Old Style" w:hAnsi="Bookman Old Style"/>
          <w:b/>
          <w:bCs/>
          <w:i/>
          <w:iCs/>
          <w:sz w:val="28"/>
          <w:szCs w:val="28"/>
        </w:rPr>
        <w:t>Δ.35 θ.25</w:t>
      </w:r>
      <w:r>
        <w:rPr>
          <w:rFonts w:ascii="Bookman Old Style" w:hAnsi="Bookman Old Style"/>
          <w:sz w:val="28"/>
          <w:szCs w:val="28"/>
        </w:rPr>
        <w:t xml:space="preserve"> προνοεί ότι οι </w:t>
      </w:r>
      <w:r w:rsidR="006314C2">
        <w:rPr>
          <w:rFonts w:ascii="Bookman Old Style" w:hAnsi="Bookman Old Style"/>
          <w:sz w:val="28"/>
          <w:szCs w:val="28"/>
        </w:rPr>
        <w:t xml:space="preserve">κατ΄ έφεση </w:t>
      </w:r>
      <w:r>
        <w:rPr>
          <w:rFonts w:ascii="Bookman Old Style" w:hAnsi="Bookman Old Style"/>
          <w:sz w:val="28"/>
          <w:szCs w:val="28"/>
        </w:rPr>
        <w:t xml:space="preserve">αποφάσεις και διαταγές του Ανωτάτου Δικαστηρίου θα καταχωρούνται με τον ίδιο τρόπο ως αυτές του Επαρχιακού Δικαστηρίου. Η </w:t>
      </w:r>
      <w:r w:rsidRPr="00363F25">
        <w:rPr>
          <w:rFonts w:ascii="Bookman Old Style" w:hAnsi="Bookman Old Style"/>
          <w:b/>
          <w:bCs/>
          <w:i/>
          <w:iCs/>
          <w:sz w:val="28"/>
          <w:szCs w:val="28"/>
        </w:rPr>
        <w:t>Δ.35 θ.26</w:t>
      </w:r>
      <w:r>
        <w:rPr>
          <w:rFonts w:ascii="Bookman Old Style" w:hAnsi="Bookman Old Style"/>
          <w:sz w:val="28"/>
          <w:szCs w:val="28"/>
        </w:rPr>
        <w:t xml:space="preserve"> προβλέπει ότι εντάλματα εκτέλεσης δυνάμει αποφάσεων ή διαταγών του Ανωτάτου Δικαστηρίου κατ’ έφεση θα εκδίδονται από το Δικαστήριο από το οποίο προέρχεται η </w:t>
      </w:r>
      <w:r>
        <w:rPr>
          <w:rFonts w:ascii="Bookman Old Style" w:hAnsi="Bookman Old Style"/>
          <w:sz w:val="28"/>
          <w:szCs w:val="28"/>
        </w:rPr>
        <w:lastRenderedPageBreak/>
        <w:t xml:space="preserve">έφεση, με την καταχώριση πιστού αντιγράφου τέτοιας απόφασης ή διατάγματος.  </w:t>
      </w:r>
    </w:p>
    <w:p w14:paraId="27F545C7" w14:textId="4E7881C3" w:rsidR="009E73CA" w:rsidRDefault="009E73CA" w:rsidP="009E73CA">
      <w:pPr>
        <w:tabs>
          <w:tab w:val="left" w:pos="567"/>
        </w:tabs>
        <w:spacing w:before="240" w:line="480" w:lineRule="auto"/>
        <w:rPr>
          <w:rFonts w:ascii="Bookman Old Style" w:hAnsi="Bookman Old Style"/>
          <w:sz w:val="28"/>
          <w:szCs w:val="28"/>
        </w:rPr>
      </w:pPr>
      <w:r>
        <w:rPr>
          <w:rFonts w:ascii="Bookman Old Style" w:hAnsi="Bookman Old Style"/>
          <w:sz w:val="28"/>
          <w:szCs w:val="28"/>
        </w:rPr>
        <w:tab/>
        <w:t xml:space="preserve">Στην προκειμένη περίπτωση είναι αδιαμφισβήτητο ότι </w:t>
      </w:r>
      <w:r w:rsidR="001D412B">
        <w:rPr>
          <w:rFonts w:ascii="Bookman Old Style" w:hAnsi="Bookman Old Style"/>
          <w:sz w:val="28"/>
          <w:szCs w:val="28"/>
        </w:rPr>
        <w:t xml:space="preserve">οι Αιτητές </w:t>
      </w:r>
      <w:r>
        <w:rPr>
          <w:rFonts w:ascii="Bookman Old Style" w:hAnsi="Bookman Old Style"/>
          <w:sz w:val="28"/>
          <w:szCs w:val="28"/>
        </w:rPr>
        <w:t>επιθυμ</w:t>
      </w:r>
      <w:r w:rsidR="001D412B">
        <w:rPr>
          <w:rFonts w:ascii="Bookman Old Style" w:hAnsi="Bookman Old Style"/>
          <w:sz w:val="28"/>
          <w:szCs w:val="28"/>
        </w:rPr>
        <w:t>ούν</w:t>
      </w:r>
      <w:r>
        <w:rPr>
          <w:rFonts w:ascii="Bookman Old Style" w:hAnsi="Bookman Old Style"/>
          <w:sz w:val="28"/>
          <w:szCs w:val="28"/>
        </w:rPr>
        <w:t xml:space="preserve"> και επιχειρ</w:t>
      </w:r>
      <w:r w:rsidR="001D412B">
        <w:rPr>
          <w:rFonts w:ascii="Bookman Old Style" w:hAnsi="Bookman Old Style"/>
          <w:sz w:val="28"/>
          <w:szCs w:val="28"/>
        </w:rPr>
        <w:t>ούν</w:t>
      </w:r>
      <w:r>
        <w:rPr>
          <w:rFonts w:ascii="Bookman Old Style" w:hAnsi="Bookman Old Style"/>
          <w:sz w:val="28"/>
          <w:szCs w:val="28"/>
        </w:rPr>
        <w:t xml:space="preserve"> την πληρωμή των δικηγορικών εξόδων τα οποία έχουν ψηφιστεί υπέρ του</w:t>
      </w:r>
      <w:r w:rsidR="002C78FC">
        <w:rPr>
          <w:rFonts w:ascii="Bookman Old Style" w:hAnsi="Bookman Old Style"/>
          <w:sz w:val="28"/>
          <w:szCs w:val="28"/>
        </w:rPr>
        <w:t>ς</w:t>
      </w:r>
      <w:r>
        <w:rPr>
          <w:rFonts w:ascii="Bookman Old Style" w:hAnsi="Bookman Old Style"/>
          <w:sz w:val="28"/>
          <w:szCs w:val="28"/>
        </w:rPr>
        <w:t xml:space="preserve"> από τον Πρωτοκολλητή του Ανωτάτου Δικαστηρίου σε σχέση με την εκπροσώπηση του Καθ’ ου ως Εφεσείοντος μέχρι και την απόσυρση της έφεσης. </w:t>
      </w:r>
    </w:p>
    <w:p w14:paraId="0782A7EE" w14:textId="2501B15F" w:rsidR="009E73CA" w:rsidRDefault="009E73CA" w:rsidP="009E73CA">
      <w:pPr>
        <w:tabs>
          <w:tab w:val="left" w:pos="567"/>
        </w:tabs>
        <w:spacing w:before="240" w:line="480" w:lineRule="auto"/>
        <w:rPr>
          <w:rFonts w:ascii="Bookman Old Style" w:hAnsi="Bookman Old Style"/>
          <w:sz w:val="28"/>
          <w:szCs w:val="28"/>
        </w:rPr>
      </w:pPr>
      <w:r>
        <w:rPr>
          <w:rFonts w:ascii="Bookman Old Style" w:hAnsi="Bookman Old Style"/>
          <w:sz w:val="28"/>
          <w:szCs w:val="28"/>
        </w:rPr>
        <w:tab/>
        <w:t xml:space="preserve">Η ψήφιση εξόδων διέπεται ειδικά από τη </w:t>
      </w:r>
      <w:r w:rsidRPr="00C32FEB">
        <w:rPr>
          <w:rFonts w:ascii="Bookman Old Style" w:hAnsi="Bookman Old Style"/>
          <w:b/>
          <w:bCs/>
          <w:i/>
          <w:iCs/>
          <w:sz w:val="28"/>
          <w:szCs w:val="28"/>
        </w:rPr>
        <w:t>Δ.59 των Θεσμών Πολιτικής Δικονομίας</w:t>
      </w:r>
      <w:r>
        <w:rPr>
          <w:rFonts w:ascii="Bookman Old Style" w:hAnsi="Bookman Old Style"/>
          <w:sz w:val="28"/>
          <w:szCs w:val="28"/>
        </w:rPr>
        <w:t xml:space="preserve">. Στην προκειμένη περίπτωση δεν έχει λεχθεί ούτε και προκύπτει από τον φάκελο ότι το πιστοποιητικό ψήφισης έχει με οποιονδήποτε τρόπο αμφισβητηθεί και επομένως αυτό έχει καταστεί τελικό, σύμφωνα με τη </w:t>
      </w:r>
      <w:r w:rsidRPr="00043703">
        <w:rPr>
          <w:rFonts w:ascii="Bookman Old Style" w:hAnsi="Bookman Old Style"/>
          <w:b/>
          <w:bCs/>
          <w:i/>
          <w:iCs/>
          <w:sz w:val="28"/>
          <w:szCs w:val="28"/>
        </w:rPr>
        <w:t>Δ.59 θ.17</w:t>
      </w:r>
      <w:r>
        <w:rPr>
          <w:rFonts w:ascii="Bookman Old Style" w:hAnsi="Bookman Old Style"/>
          <w:sz w:val="28"/>
          <w:szCs w:val="28"/>
        </w:rPr>
        <w:t xml:space="preserve">. </w:t>
      </w:r>
    </w:p>
    <w:p w14:paraId="3A7117A0" w14:textId="29BAC987" w:rsidR="009E73CA" w:rsidRDefault="009E73CA" w:rsidP="009E73CA">
      <w:pPr>
        <w:tabs>
          <w:tab w:val="left" w:pos="567"/>
        </w:tabs>
        <w:spacing w:before="240" w:line="480" w:lineRule="auto"/>
        <w:rPr>
          <w:rFonts w:ascii="Bookman Old Style" w:hAnsi="Bookman Old Style"/>
          <w:sz w:val="28"/>
          <w:szCs w:val="28"/>
        </w:rPr>
      </w:pPr>
      <w:r>
        <w:rPr>
          <w:rFonts w:ascii="Bookman Old Style" w:hAnsi="Bookman Old Style"/>
          <w:sz w:val="28"/>
          <w:szCs w:val="28"/>
        </w:rPr>
        <w:tab/>
        <w:t xml:space="preserve">Η </w:t>
      </w:r>
      <w:r w:rsidRPr="00C32FEB">
        <w:rPr>
          <w:rFonts w:ascii="Bookman Old Style" w:hAnsi="Bookman Old Style"/>
          <w:b/>
          <w:bCs/>
          <w:i/>
          <w:iCs/>
          <w:sz w:val="28"/>
          <w:szCs w:val="28"/>
        </w:rPr>
        <w:t xml:space="preserve">Δ.59 </w:t>
      </w:r>
      <w:r>
        <w:rPr>
          <w:rFonts w:ascii="Bookman Old Style" w:hAnsi="Bookman Old Style"/>
          <w:b/>
          <w:bCs/>
          <w:i/>
          <w:iCs/>
          <w:sz w:val="28"/>
          <w:szCs w:val="28"/>
        </w:rPr>
        <w:t xml:space="preserve">θ.34 </w:t>
      </w:r>
      <w:r w:rsidRPr="00AE7769">
        <w:rPr>
          <w:rFonts w:ascii="Bookman Old Style" w:hAnsi="Bookman Old Style"/>
          <w:sz w:val="28"/>
          <w:szCs w:val="28"/>
        </w:rPr>
        <w:t xml:space="preserve">προνοεί </w:t>
      </w:r>
      <w:r>
        <w:rPr>
          <w:rFonts w:ascii="Bookman Old Style" w:hAnsi="Bookman Old Style"/>
          <w:sz w:val="28"/>
          <w:szCs w:val="28"/>
        </w:rPr>
        <w:t xml:space="preserve">ότι οποιοδήποτε πρόσωπο δικαιούται να εισπράξει έξοδα, θα εφοδιάζεται, κατόπιν αίτησης, από τον Πρωτοκολλητή με πιστοποιητικό ψήφισης αυτών των εξόδων. Σύμφωνα με τη </w:t>
      </w:r>
      <w:r w:rsidRPr="008D36B7">
        <w:rPr>
          <w:rFonts w:ascii="Bookman Old Style" w:hAnsi="Bookman Old Style"/>
          <w:b/>
          <w:bCs/>
          <w:i/>
          <w:iCs/>
          <w:sz w:val="28"/>
          <w:szCs w:val="28"/>
        </w:rPr>
        <w:t xml:space="preserve">Δ.59 </w:t>
      </w:r>
      <w:r w:rsidRPr="00C32FEB">
        <w:rPr>
          <w:rFonts w:ascii="Bookman Old Style" w:hAnsi="Bookman Old Style"/>
          <w:b/>
          <w:bCs/>
          <w:i/>
          <w:iCs/>
          <w:sz w:val="28"/>
          <w:szCs w:val="28"/>
        </w:rPr>
        <w:t>θ.35</w:t>
      </w:r>
      <w:r w:rsidRPr="00AE7769">
        <w:rPr>
          <w:rFonts w:ascii="Bookman Old Style" w:hAnsi="Bookman Old Style"/>
          <w:sz w:val="28"/>
          <w:szCs w:val="28"/>
        </w:rPr>
        <w:t>,</w:t>
      </w:r>
      <w:r>
        <w:rPr>
          <w:rFonts w:ascii="Bookman Old Style" w:hAnsi="Bookman Old Style"/>
          <w:sz w:val="28"/>
          <w:szCs w:val="28"/>
        </w:rPr>
        <w:t xml:space="preserve"> πιστοποιητικά ψήφισης δύνανται, αφού καταχωριστούν, να εκτελούνται ως διαταγές Δικαστηρίου. </w:t>
      </w:r>
    </w:p>
    <w:p w14:paraId="1FA41784" w14:textId="501DA107" w:rsidR="009E73CA" w:rsidRPr="009760FF" w:rsidRDefault="009E73CA" w:rsidP="009E73CA">
      <w:pPr>
        <w:tabs>
          <w:tab w:val="left" w:pos="567"/>
        </w:tabs>
        <w:spacing w:before="240" w:line="480" w:lineRule="auto"/>
        <w:rPr>
          <w:rFonts w:ascii="Bookman Old Style" w:hAnsi="Bookman Old Style"/>
          <w:sz w:val="28"/>
          <w:szCs w:val="28"/>
        </w:rPr>
      </w:pPr>
      <w:r>
        <w:rPr>
          <w:rFonts w:ascii="Bookman Old Style" w:hAnsi="Bookman Old Style"/>
          <w:sz w:val="28"/>
          <w:szCs w:val="28"/>
        </w:rPr>
        <w:tab/>
        <w:t xml:space="preserve">Όπως αναφέρεται στην υπόθεση </w:t>
      </w:r>
      <w:r w:rsidRPr="009760FF">
        <w:rPr>
          <w:rFonts w:ascii="Bookman Old Style" w:hAnsi="Bookman Old Style"/>
          <w:b/>
          <w:bCs/>
          <w:i/>
          <w:iCs/>
          <w:sz w:val="28"/>
          <w:szCs w:val="28"/>
        </w:rPr>
        <w:t xml:space="preserve">Λ. Παπαφιλίππου &amp; Σια </w:t>
      </w:r>
      <w:r w:rsidRPr="009760FF">
        <w:rPr>
          <w:rFonts w:ascii="Bookman Old Style" w:hAnsi="Bookman Old Style"/>
          <w:b/>
          <w:bCs/>
          <w:i/>
          <w:iCs/>
          <w:sz w:val="28"/>
          <w:szCs w:val="28"/>
          <w:lang w:val="en-GB"/>
        </w:rPr>
        <w:t>v</w:t>
      </w:r>
      <w:r w:rsidRPr="009760FF">
        <w:rPr>
          <w:rFonts w:ascii="Bookman Old Style" w:hAnsi="Bookman Old Style"/>
          <w:b/>
          <w:bCs/>
          <w:i/>
          <w:iCs/>
          <w:sz w:val="28"/>
          <w:szCs w:val="28"/>
        </w:rPr>
        <w:t xml:space="preserve">. </w:t>
      </w:r>
      <w:r w:rsidRPr="009760FF">
        <w:rPr>
          <w:rFonts w:ascii="Bookman Old Style" w:hAnsi="Bookman Old Style"/>
          <w:b/>
          <w:bCs/>
          <w:i/>
          <w:iCs/>
          <w:sz w:val="28"/>
          <w:szCs w:val="28"/>
          <w:lang w:val="en-GB"/>
        </w:rPr>
        <w:t>Liberty</w:t>
      </w:r>
      <w:r w:rsidRPr="009760FF">
        <w:rPr>
          <w:rFonts w:ascii="Bookman Old Style" w:hAnsi="Bookman Old Style"/>
          <w:b/>
          <w:bCs/>
          <w:i/>
          <w:iCs/>
          <w:sz w:val="28"/>
          <w:szCs w:val="28"/>
        </w:rPr>
        <w:t xml:space="preserve"> </w:t>
      </w:r>
      <w:r w:rsidRPr="009760FF">
        <w:rPr>
          <w:rFonts w:ascii="Bookman Old Style" w:hAnsi="Bookman Old Style"/>
          <w:b/>
          <w:bCs/>
          <w:i/>
          <w:iCs/>
          <w:sz w:val="28"/>
          <w:szCs w:val="28"/>
          <w:lang w:val="en-GB"/>
        </w:rPr>
        <w:t>Life</w:t>
      </w:r>
      <w:r w:rsidR="002B4F2D" w:rsidRPr="002B4F2D">
        <w:rPr>
          <w:rFonts w:ascii="Bookman Old Style" w:hAnsi="Bookman Old Style"/>
          <w:b/>
          <w:bCs/>
          <w:i/>
          <w:iCs/>
          <w:sz w:val="28"/>
          <w:szCs w:val="28"/>
        </w:rPr>
        <w:t xml:space="preserve"> (2013) 1</w:t>
      </w:r>
      <w:r w:rsidR="009B4936">
        <w:rPr>
          <w:rFonts w:ascii="Bookman Old Style" w:hAnsi="Bookman Old Style"/>
          <w:b/>
          <w:bCs/>
          <w:i/>
          <w:iCs/>
          <w:sz w:val="28"/>
          <w:szCs w:val="28"/>
        </w:rPr>
        <w:t>(Γ)</w:t>
      </w:r>
      <w:r w:rsidR="002B4F2D" w:rsidRPr="002B4F2D">
        <w:rPr>
          <w:rFonts w:ascii="Bookman Old Style" w:hAnsi="Bookman Old Style"/>
          <w:b/>
          <w:bCs/>
          <w:i/>
          <w:iCs/>
          <w:sz w:val="28"/>
          <w:szCs w:val="28"/>
        </w:rPr>
        <w:t xml:space="preserve"> </w:t>
      </w:r>
      <w:r w:rsidR="002B4F2D">
        <w:rPr>
          <w:rFonts w:ascii="Bookman Old Style" w:hAnsi="Bookman Old Style"/>
          <w:b/>
          <w:bCs/>
          <w:i/>
          <w:iCs/>
          <w:sz w:val="28"/>
          <w:szCs w:val="28"/>
          <w:lang w:val="en-US"/>
        </w:rPr>
        <w:t>A</w:t>
      </w:r>
      <w:r w:rsidR="002B4F2D" w:rsidRPr="002B4F2D">
        <w:rPr>
          <w:rFonts w:ascii="Bookman Old Style" w:hAnsi="Bookman Old Style"/>
          <w:b/>
          <w:bCs/>
          <w:i/>
          <w:iCs/>
          <w:sz w:val="28"/>
          <w:szCs w:val="28"/>
        </w:rPr>
        <w:t>.</w:t>
      </w:r>
      <w:r w:rsidR="002B4F2D">
        <w:rPr>
          <w:rFonts w:ascii="Bookman Old Style" w:hAnsi="Bookman Old Style"/>
          <w:b/>
          <w:bCs/>
          <w:i/>
          <w:iCs/>
          <w:sz w:val="28"/>
          <w:szCs w:val="28"/>
          <w:lang w:val="en-US"/>
        </w:rPr>
        <w:t>A</w:t>
      </w:r>
      <w:r w:rsidR="002B4F2D" w:rsidRPr="002B4F2D">
        <w:rPr>
          <w:rFonts w:ascii="Bookman Old Style" w:hAnsi="Bookman Old Style"/>
          <w:b/>
          <w:bCs/>
          <w:i/>
          <w:iCs/>
          <w:sz w:val="28"/>
          <w:szCs w:val="28"/>
        </w:rPr>
        <w:t>.</w:t>
      </w:r>
      <w:r w:rsidR="002B4F2D">
        <w:rPr>
          <w:rFonts w:ascii="Bookman Old Style" w:hAnsi="Bookman Old Style"/>
          <w:b/>
          <w:bCs/>
          <w:i/>
          <w:iCs/>
          <w:sz w:val="28"/>
          <w:szCs w:val="28"/>
        </w:rPr>
        <w:t>Δ</w:t>
      </w:r>
      <w:r w:rsidR="002B4F2D" w:rsidRPr="002B4F2D">
        <w:rPr>
          <w:rFonts w:ascii="Bookman Old Style" w:hAnsi="Bookman Old Style"/>
          <w:b/>
          <w:bCs/>
          <w:i/>
          <w:iCs/>
          <w:sz w:val="28"/>
          <w:szCs w:val="28"/>
        </w:rPr>
        <w:t>. 1917</w:t>
      </w:r>
      <w:r w:rsidRPr="009760FF">
        <w:rPr>
          <w:rFonts w:ascii="Bookman Old Style" w:hAnsi="Bookman Old Style"/>
          <w:sz w:val="28"/>
          <w:szCs w:val="28"/>
        </w:rPr>
        <w:t xml:space="preserve">, </w:t>
      </w:r>
      <w:r>
        <w:rPr>
          <w:rFonts w:ascii="Bookman Old Style" w:hAnsi="Bookman Old Style"/>
          <w:sz w:val="28"/>
          <w:szCs w:val="28"/>
        </w:rPr>
        <w:t xml:space="preserve">η διαδικασία ψήφισης </w:t>
      </w:r>
      <w:r>
        <w:rPr>
          <w:rFonts w:ascii="Bookman Old Style" w:hAnsi="Bookman Old Style"/>
          <w:sz w:val="28"/>
          <w:szCs w:val="28"/>
        </w:rPr>
        <w:lastRenderedPageBreak/>
        <w:t>δικηγορικών εξόδων αποτελεί οι</w:t>
      </w:r>
      <w:r w:rsidR="00C65C8E">
        <w:rPr>
          <w:rFonts w:ascii="Bookman Old Style" w:hAnsi="Bookman Old Style"/>
          <w:sz w:val="28"/>
          <w:szCs w:val="28"/>
        </w:rPr>
        <w:t>ο</w:t>
      </w:r>
      <w:r>
        <w:rPr>
          <w:rFonts w:ascii="Bookman Old Style" w:hAnsi="Bookman Old Style"/>
          <w:sz w:val="28"/>
          <w:szCs w:val="28"/>
        </w:rPr>
        <w:t>ν</w:t>
      </w:r>
      <w:r w:rsidR="00C65C8E">
        <w:rPr>
          <w:rFonts w:ascii="Bookman Old Style" w:hAnsi="Bookman Old Style"/>
          <w:sz w:val="28"/>
          <w:szCs w:val="28"/>
        </w:rPr>
        <w:t>ε</w:t>
      </w:r>
      <w:r>
        <w:rPr>
          <w:rFonts w:ascii="Bookman Old Style" w:hAnsi="Bookman Old Style"/>
          <w:sz w:val="28"/>
          <w:szCs w:val="28"/>
        </w:rPr>
        <w:t xml:space="preserve">ί δικαστική λειτουργία, πλην όμως δεν εξομοιώνεται με δικαστική απόφαση. </w:t>
      </w:r>
      <w:r w:rsidRPr="009760FF">
        <w:rPr>
          <w:rFonts w:ascii="Bookman Old Style" w:hAnsi="Bookman Old Style"/>
          <w:sz w:val="28"/>
          <w:szCs w:val="28"/>
        </w:rPr>
        <w:t xml:space="preserve"> </w:t>
      </w:r>
    </w:p>
    <w:p w14:paraId="7526D3E1" w14:textId="4F1A09B2" w:rsidR="009E73CA" w:rsidRDefault="009E73CA" w:rsidP="009E73CA">
      <w:pPr>
        <w:tabs>
          <w:tab w:val="left" w:pos="567"/>
        </w:tabs>
        <w:spacing w:before="240" w:line="480" w:lineRule="auto"/>
        <w:rPr>
          <w:rFonts w:ascii="Bookman Old Style" w:hAnsi="Bookman Old Style"/>
          <w:sz w:val="28"/>
          <w:szCs w:val="28"/>
        </w:rPr>
      </w:pPr>
      <w:r>
        <w:rPr>
          <w:rFonts w:ascii="Bookman Old Style" w:hAnsi="Bookman Old Style"/>
          <w:sz w:val="28"/>
          <w:szCs w:val="28"/>
        </w:rPr>
        <w:tab/>
        <w:t>Επομένως, καθίσταται σαφές ότι η ψήφιση εξόδων αφ’ εαυτής δεν ισοδυναμεί με δικαστική απόφαση ούτως ώστε το πιστοποιητικό ψήφισης εξόδων να υπόκειται αυτομάτως σε εκτέλεση. Αντιθέτως, για να είναι δυνατή η εκτέλεση ψήφισης εξόδων, το σχετικό πιστοποιητικό θα πρέπει να καταχωριστεί στ</w:t>
      </w:r>
      <w:r w:rsidR="009753FC">
        <w:rPr>
          <w:rFonts w:ascii="Bookman Old Style" w:hAnsi="Bookman Old Style"/>
          <w:sz w:val="28"/>
          <w:szCs w:val="28"/>
        </w:rPr>
        <w:t>η</w:t>
      </w:r>
      <w:r>
        <w:rPr>
          <w:rFonts w:ascii="Bookman Old Style" w:hAnsi="Bookman Old Style"/>
          <w:sz w:val="28"/>
          <w:szCs w:val="28"/>
        </w:rPr>
        <w:t>ν πρωτόδικη διαδικασία στην οποία αφορά η υπό κρίση έφεση.</w:t>
      </w:r>
      <w:r w:rsidR="00F954B5">
        <w:rPr>
          <w:rFonts w:ascii="Bookman Old Style" w:hAnsi="Bookman Old Style"/>
          <w:sz w:val="28"/>
          <w:szCs w:val="28"/>
        </w:rPr>
        <w:t xml:space="preserve"> Με αυτόν τον </w:t>
      </w:r>
      <w:r w:rsidR="008D36B7">
        <w:rPr>
          <w:rFonts w:ascii="Bookman Old Style" w:hAnsi="Bookman Old Style"/>
          <w:sz w:val="28"/>
          <w:szCs w:val="28"/>
        </w:rPr>
        <w:t xml:space="preserve">τρόπο </w:t>
      </w:r>
      <w:r w:rsidR="00F954B5">
        <w:rPr>
          <w:rFonts w:ascii="Bookman Old Style" w:hAnsi="Bookman Old Style"/>
          <w:sz w:val="28"/>
          <w:szCs w:val="28"/>
        </w:rPr>
        <w:t xml:space="preserve">το πιστοποιητικό καθίσταται πλέον δικαστική απόφαση η οποία υπόκειται σε εκτέλεση. </w:t>
      </w:r>
      <w:r>
        <w:rPr>
          <w:rFonts w:ascii="Bookman Old Style" w:hAnsi="Bookman Old Style"/>
          <w:sz w:val="28"/>
          <w:szCs w:val="28"/>
        </w:rPr>
        <w:t xml:space="preserve"> </w:t>
      </w:r>
    </w:p>
    <w:p w14:paraId="6D9B5007" w14:textId="61C661EA" w:rsidR="009E73CA" w:rsidRDefault="009E73CA" w:rsidP="009E73CA">
      <w:pPr>
        <w:tabs>
          <w:tab w:val="left" w:pos="567"/>
        </w:tabs>
        <w:spacing w:before="240" w:line="480" w:lineRule="auto"/>
        <w:rPr>
          <w:rFonts w:ascii="Bookman Old Style" w:hAnsi="Bookman Old Style"/>
          <w:sz w:val="28"/>
          <w:szCs w:val="28"/>
        </w:rPr>
      </w:pPr>
      <w:r>
        <w:rPr>
          <w:rFonts w:ascii="Bookman Old Style" w:hAnsi="Bookman Old Style"/>
          <w:sz w:val="28"/>
          <w:szCs w:val="28"/>
        </w:rPr>
        <w:tab/>
        <w:t xml:space="preserve">Στην προκειμένη περίπτωση, στη νομική βάση της Αίτησης δεν περιλαμβάνονται οι Δ.35 και </w:t>
      </w:r>
      <w:r w:rsidR="008D36B7">
        <w:rPr>
          <w:rFonts w:ascii="Bookman Old Style" w:hAnsi="Bookman Old Style"/>
          <w:sz w:val="28"/>
          <w:szCs w:val="28"/>
        </w:rPr>
        <w:t>Δ.</w:t>
      </w:r>
      <w:r>
        <w:rPr>
          <w:rFonts w:ascii="Bookman Old Style" w:hAnsi="Bookman Old Style"/>
          <w:sz w:val="28"/>
          <w:szCs w:val="28"/>
        </w:rPr>
        <w:t xml:space="preserve">59 οι οποίες αφορούν στην εκτέλεση απόφασης του Ανωτάτου Δικαστηρίου κατ’ έφεση. Επιπλέον, στην ένορκη δήλωση που συνοδεύει την Αίτηση, δεν υπάρχει οποιαδήποτε αναφορά ως προς την ακολουθητέα διαδικασία μετά τη ψήφιση των εξόδων και την έκδοση του πιστοποιητικού, παρά μόνο προβάλλεται ο ισχυρισμός για την έκδοση και εκτέλεση (ανεπιτυχώς) του εντάλματος εκτέλεσης κινητής περιουσίας. </w:t>
      </w:r>
      <w:r w:rsidR="009753FC">
        <w:rPr>
          <w:rFonts w:ascii="Bookman Old Style" w:hAnsi="Bookman Old Style"/>
          <w:sz w:val="28"/>
          <w:szCs w:val="28"/>
        </w:rPr>
        <w:t xml:space="preserve">Περαιτέρω </w:t>
      </w:r>
      <w:r>
        <w:rPr>
          <w:rFonts w:ascii="Bookman Old Style" w:hAnsi="Bookman Old Style"/>
          <w:sz w:val="28"/>
          <w:szCs w:val="28"/>
        </w:rPr>
        <w:t xml:space="preserve">ο Αιτητής δεν παρουσίασε οποιοδήποτε έγγραφο που να καταδεικνύει είτε την καταχώριση του πιστοποιητικού ψήφισης των εξόδων είτε ακόμα και το κατ’ ισχυρισμό εκδοθέν ένταλμα και την επιστροφή του χωρίς εκτέλεση για να δοθεί η </w:t>
      </w:r>
      <w:r>
        <w:rPr>
          <w:rFonts w:ascii="Bookman Old Style" w:hAnsi="Bookman Old Style"/>
          <w:sz w:val="28"/>
          <w:szCs w:val="28"/>
        </w:rPr>
        <w:lastRenderedPageBreak/>
        <w:t xml:space="preserve">δυνατότητα στο Δικαστήριο να διαπιστώσει κατά πόσο στην προκειμένη περίπτωση επιχειρείται η εκτέλεση δικαστικής απόφασης ή όχι. </w:t>
      </w:r>
    </w:p>
    <w:p w14:paraId="7A5A0EF5" w14:textId="10332E37" w:rsidR="009E73CA" w:rsidRDefault="009E73CA" w:rsidP="009E73CA">
      <w:pPr>
        <w:tabs>
          <w:tab w:val="left" w:pos="567"/>
        </w:tabs>
        <w:spacing w:before="240" w:line="480" w:lineRule="auto"/>
        <w:rPr>
          <w:rFonts w:ascii="Bookman Old Style" w:hAnsi="Bookman Old Style"/>
          <w:sz w:val="28"/>
          <w:szCs w:val="28"/>
        </w:rPr>
      </w:pPr>
      <w:r>
        <w:rPr>
          <w:rFonts w:ascii="Bookman Old Style" w:hAnsi="Bookman Old Style"/>
          <w:sz w:val="28"/>
          <w:szCs w:val="28"/>
        </w:rPr>
        <w:tab/>
        <w:t xml:space="preserve">Θα μπορούσε να λεχθεί ότι με την έκδοση εντάλματος πώλησης κινητής περιουσίας εξασφαλίστηκε σχετική δικαστική απόφαση ή διαταγή εφόσον η έκδοση της αποτελεί απαραίτητη προϋπόθεση για την έκδοση τέτοιου εντάλματος, όπως απαιτείται από τη </w:t>
      </w:r>
      <w:r w:rsidRPr="00C874E2">
        <w:rPr>
          <w:rFonts w:ascii="Bookman Old Style" w:hAnsi="Bookman Old Style"/>
          <w:b/>
          <w:bCs/>
          <w:i/>
          <w:iCs/>
          <w:sz w:val="28"/>
          <w:szCs w:val="28"/>
        </w:rPr>
        <w:t>Δ.40 θ.4 των Θεσμών Πολιτικής Δικονομίας</w:t>
      </w:r>
      <w:r>
        <w:rPr>
          <w:rFonts w:ascii="Bookman Old Style" w:hAnsi="Bookman Old Style"/>
          <w:sz w:val="28"/>
          <w:szCs w:val="28"/>
        </w:rPr>
        <w:t xml:space="preserve">. </w:t>
      </w:r>
    </w:p>
    <w:p w14:paraId="6BFCB4ED" w14:textId="5317AC93" w:rsidR="009E73CA" w:rsidRDefault="009E73CA" w:rsidP="009E73CA">
      <w:pPr>
        <w:tabs>
          <w:tab w:val="left" w:pos="567"/>
        </w:tabs>
        <w:spacing w:before="240" w:line="480" w:lineRule="auto"/>
        <w:rPr>
          <w:rFonts w:ascii="Bookman Old Style" w:hAnsi="Bookman Old Style"/>
          <w:sz w:val="28"/>
          <w:szCs w:val="28"/>
        </w:rPr>
      </w:pPr>
      <w:r>
        <w:rPr>
          <w:rFonts w:ascii="Bookman Old Style" w:hAnsi="Bookman Old Style"/>
          <w:sz w:val="28"/>
          <w:szCs w:val="28"/>
        </w:rPr>
        <w:tab/>
        <w:t xml:space="preserve">Τα μόνα στοιχεία όμως που βρίσκονται ενώπιον του Δικαστηρίου είναι η λανθασμένη περιγραφή περί υπολογισμού, και όχι ψήφισης, εξόδων και ο απλός ισχυρισμός περί έκδοσης και ανεπιτυχούς εκτέλεσης του εντάλματος πώλησης ακίνητης περιουσίας. Σημειώνεται πως και αυτός ο ισχυρισμός αποτελεί αντικείμενο άρνησης από τον Καθ’ ου. </w:t>
      </w:r>
    </w:p>
    <w:p w14:paraId="58B5E5E7" w14:textId="44A04AB0" w:rsidR="009E73CA" w:rsidRDefault="009E73CA" w:rsidP="009E73CA">
      <w:pPr>
        <w:tabs>
          <w:tab w:val="left" w:pos="567"/>
        </w:tabs>
        <w:spacing w:before="240" w:line="480" w:lineRule="auto"/>
        <w:rPr>
          <w:rFonts w:ascii="Bookman Old Style" w:hAnsi="Bookman Old Style"/>
          <w:sz w:val="28"/>
          <w:szCs w:val="28"/>
        </w:rPr>
      </w:pPr>
      <w:r>
        <w:rPr>
          <w:rFonts w:ascii="Bookman Old Style" w:hAnsi="Bookman Old Style"/>
          <w:sz w:val="28"/>
          <w:szCs w:val="28"/>
        </w:rPr>
        <w:tab/>
        <w:t xml:space="preserve">Αυτά τα στοιχεία αναμφίβολα δεν είναι επαρκή για να καταδείξουν στο Δικαστήριο ότι η προβλεπόμενη διαδικασία, όπως περιγράφεται ανωτέρω, έχει ακολουθηθεί ορθά. </w:t>
      </w:r>
    </w:p>
    <w:p w14:paraId="5541A7DB" w14:textId="4CCD0231" w:rsidR="009E73CA" w:rsidRDefault="009E73CA" w:rsidP="009E73CA">
      <w:pPr>
        <w:tabs>
          <w:tab w:val="left" w:pos="567"/>
        </w:tabs>
        <w:spacing w:before="240" w:line="480" w:lineRule="auto"/>
        <w:rPr>
          <w:rFonts w:ascii="Bookman Old Style" w:hAnsi="Bookman Old Style"/>
          <w:sz w:val="28"/>
          <w:szCs w:val="28"/>
        </w:rPr>
      </w:pPr>
      <w:r>
        <w:rPr>
          <w:rFonts w:ascii="Bookman Old Style" w:hAnsi="Bookman Old Style"/>
          <w:sz w:val="28"/>
          <w:szCs w:val="28"/>
        </w:rPr>
        <w:tab/>
        <w:t xml:space="preserve">Για τους λόγους που εξηγούνται ανωτέρω, καταλήγουμε </w:t>
      </w:r>
      <w:r w:rsidR="00A01F8A">
        <w:rPr>
          <w:rFonts w:ascii="Bookman Old Style" w:hAnsi="Bookman Old Style"/>
          <w:sz w:val="28"/>
          <w:szCs w:val="28"/>
        </w:rPr>
        <w:t>πως</w:t>
      </w:r>
      <w:r>
        <w:rPr>
          <w:rFonts w:ascii="Bookman Old Style" w:hAnsi="Bookman Old Style"/>
          <w:sz w:val="28"/>
          <w:szCs w:val="28"/>
        </w:rPr>
        <w:t xml:space="preserve"> δεν </w:t>
      </w:r>
      <w:r w:rsidR="00A03B4F">
        <w:rPr>
          <w:rFonts w:ascii="Bookman Old Style" w:hAnsi="Bookman Old Style"/>
          <w:sz w:val="28"/>
          <w:szCs w:val="28"/>
        </w:rPr>
        <w:t xml:space="preserve">υπάρχει νομότυπη Αίτηση ενώπιον μας η οποία υπόκειται δίχως άλλο </w:t>
      </w:r>
      <w:r>
        <w:rPr>
          <w:rFonts w:ascii="Bookman Old Style" w:hAnsi="Bookman Old Style"/>
          <w:sz w:val="28"/>
          <w:szCs w:val="28"/>
        </w:rPr>
        <w:t xml:space="preserve">σε απόρριψη. </w:t>
      </w:r>
    </w:p>
    <w:p w14:paraId="52D16DB3" w14:textId="63476F74" w:rsidR="009E73CA" w:rsidRDefault="009E73CA" w:rsidP="009E73CA">
      <w:pPr>
        <w:tabs>
          <w:tab w:val="left" w:pos="567"/>
        </w:tabs>
        <w:spacing w:before="240" w:line="480" w:lineRule="auto"/>
        <w:rPr>
          <w:rFonts w:ascii="Bookman Old Style" w:hAnsi="Bookman Old Style"/>
          <w:sz w:val="28"/>
          <w:szCs w:val="28"/>
        </w:rPr>
      </w:pPr>
      <w:r>
        <w:rPr>
          <w:rFonts w:ascii="Bookman Old Style" w:hAnsi="Bookman Old Style"/>
          <w:sz w:val="28"/>
          <w:szCs w:val="28"/>
        </w:rPr>
        <w:tab/>
        <w:t xml:space="preserve">Η Αίτηση απορρίπτεται. </w:t>
      </w:r>
    </w:p>
    <w:p w14:paraId="5D4469F1" w14:textId="7AF859D8" w:rsidR="00C874E2" w:rsidRDefault="009E73CA" w:rsidP="00B95274">
      <w:pPr>
        <w:tabs>
          <w:tab w:val="left" w:pos="567"/>
        </w:tabs>
        <w:spacing w:before="240" w:line="480" w:lineRule="auto"/>
        <w:rPr>
          <w:rFonts w:ascii="Bookman Old Style" w:hAnsi="Bookman Old Style"/>
          <w:sz w:val="28"/>
          <w:szCs w:val="28"/>
        </w:rPr>
      </w:pPr>
      <w:r>
        <w:rPr>
          <w:rFonts w:ascii="Bookman Old Style" w:hAnsi="Bookman Old Style"/>
          <w:sz w:val="28"/>
          <w:szCs w:val="28"/>
        </w:rPr>
        <w:lastRenderedPageBreak/>
        <w:tab/>
        <w:t xml:space="preserve">Ενόψει του ότι το ζήτημα δεν ηγέρθη από την πλευρά του Καθ’ ου, κρίνουμε ορθό και δίκαιο όπως η κάθε πλευρά επωμισθεί τα έξοδα της.  </w:t>
      </w:r>
    </w:p>
    <w:p w14:paraId="54383516" w14:textId="77777777" w:rsidR="00C874E2" w:rsidRDefault="00C874E2" w:rsidP="009E73CA">
      <w:pPr>
        <w:spacing w:line="480" w:lineRule="auto"/>
        <w:rPr>
          <w:rFonts w:ascii="Bookman Old Style" w:hAnsi="Bookman Old Style"/>
          <w:sz w:val="28"/>
          <w:szCs w:val="28"/>
        </w:rPr>
      </w:pPr>
    </w:p>
    <w:p w14:paraId="03CD04B9" w14:textId="77777777" w:rsidR="00B95274" w:rsidRDefault="00B95274" w:rsidP="009E73CA">
      <w:pPr>
        <w:spacing w:line="480" w:lineRule="auto"/>
        <w:rPr>
          <w:rFonts w:ascii="Bookman Old Style" w:hAnsi="Bookman Old Style"/>
          <w:sz w:val="28"/>
          <w:szCs w:val="28"/>
        </w:rPr>
      </w:pPr>
    </w:p>
    <w:p w14:paraId="55F8C619" w14:textId="77777777" w:rsidR="009E73CA" w:rsidRPr="0019785D" w:rsidRDefault="009E73CA" w:rsidP="009E73CA">
      <w:pPr>
        <w:shd w:val="clear" w:color="auto" w:fill="FFFFFF"/>
        <w:spacing w:line="360" w:lineRule="auto"/>
        <w:rPr>
          <w:rFonts w:ascii="Bookman Old Style" w:eastAsia="Times New Roman" w:hAnsi="Bookman Old Style" w:cs="Times New Roman"/>
          <w:color w:val="000000"/>
          <w:sz w:val="28"/>
          <w:szCs w:val="28"/>
        </w:rPr>
      </w:pPr>
    </w:p>
    <w:p w14:paraId="43D48606" w14:textId="20B7054E" w:rsidR="009E73CA" w:rsidRDefault="009E73CA" w:rsidP="009E73CA">
      <w:pPr>
        <w:spacing w:line="360" w:lineRule="auto"/>
        <w:rPr>
          <w:rFonts w:ascii="Bookman Old Style" w:hAnsi="Bookman Old Style"/>
          <w:sz w:val="28"/>
          <w:szCs w:val="28"/>
        </w:rPr>
      </w:pPr>
      <w:r>
        <w:rPr>
          <w:rFonts w:ascii="Bookman Old Style" w:eastAsia="Times New Roman" w:hAnsi="Bookman Old Style" w:cs="Times New Roman"/>
          <w:color w:val="000000"/>
          <w:sz w:val="28"/>
          <w:szCs w:val="28"/>
        </w:rPr>
        <w:tab/>
      </w:r>
      <w:r>
        <w:rPr>
          <w:rFonts w:ascii="Bookman Old Style" w:eastAsia="Times New Roman" w:hAnsi="Bookman Old Style" w:cs="Times New Roman"/>
          <w:color w:val="000000"/>
          <w:sz w:val="28"/>
          <w:szCs w:val="28"/>
        </w:rPr>
        <w:tab/>
      </w:r>
      <w:r>
        <w:rPr>
          <w:rFonts w:ascii="Bookman Old Style" w:eastAsia="Times New Roman" w:hAnsi="Bookman Old Style" w:cs="Times New Roman"/>
          <w:color w:val="000000"/>
          <w:sz w:val="28"/>
          <w:szCs w:val="28"/>
        </w:rPr>
        <w:tab/>
      </w:r>
      <w:r>
        <w:rPr>
          <w:rFonts w:ascii="Bookman Old Style" w:eastAsia="Times New Roman" w:hAnsi="Bookman Old Style" w:cs="Times New Roman"/>
          <w:color w:val="000000"/>
          <w:sz w:val="28"/>
          <w:szCs w:val="28"/>
        </w:rPr>
        <w:tab/>
      </w:r>
      <w:r>
        <w:rPr>
          <w:rFonts w:ascii="Bookman Old Style" w:eastAsia="Times New Roman" w:hAnsi="Bookman Old Style" w:cs="Times New Roman"/>
          <w:color w:val="000000"/>
          <w:sz w:val="28"/>
          <w:szCs w:val="28"/>
        </w:rPr>
        <w:tab/>
      </w:r>
      <w:r>
        <w:rPr>
          <w:rFonts w:ascii="Bookman Old Style" w:eastAsia="Times New Roman" w:hAnsi="Bookman Old Style" w:cs="Times New Roman"/>
          <w:color w:val="000000"/>
          <w:sz w:val="28"/>
          <w:szCs w:val="28"/>
        </w:rPr>
        <w:tab/>
      </w:r>
      <w:r>
        <w:rPr>
          <w:rFonts w:ascii="Bookman Old Style" w:eastAsia="Times New Roman" w:hAnsi="Bookman Old Style" w:cs="Times New Roman"/>
          <w:color w:val="000000"/>
          <w:sz w:val="28"/>
          <w:szCs w:val="28"/>
        </w:rPr>
        <w:tab/>
      </w:r>
      <w:r>
        <w:rPr>
          <w:rFonts w:ascii="Bookman Old Style" w:eastAsia="Times New Roman" w:hAnsi="Bookman Old Style" w:cs="Times New Roman"/>
          <w:color w:val="000000"/>
          <w:sz w:val="28"/>
          <w:szCs w:val="28"/>
        </w:rPr>
        <w:tab/>
      </w:r>
      <w:r>
        <w:rPr>
          <w:rFonts w:ascii="Bookman Old Style" w:hAnsi="Bookman Old Style"/>
          <w:sz w:val="28"/>
          <w:szCs w:val="28"/>
        </w:rPr>
        <w:t>Χ. ΜΑΛΑΧΤΟΣ, Δ.</w:t>
      </w:r>
    </w:p>
    <w:p w14:paraId="4B265EF5" w14:textId="77777777" w:rsidR="009E73CA" w:rsidRDefault="009E73CA" w:rsidP="009E73CA">
      <w:pPr>
        <w:spacing w:line="360" w:lineRule="auto"/>
        <w:rPr>
          <w:rFonts w:ascii="Bookman Old Style" w:hAnsi="Bookman Old Style"/>
          <w:sz w:val="28"/>
          <w:szCs w:val="28"/>
        </w:rPr>
      </w:pPr>
    </w:p>
    <w:p w14:paraId="1A15C17C" w14:textId="77777777" w:rsidR="009E73CA" w:rsidRDefault="009E73CA" w:rsidP="009E73CA">
      <w:pPr>
        <w:spacing w:line="360" w:lineRule="auto"/>
        <w:rPr>
          <w:rFonts w:ascii="Bookman Old Style" w:hAnsi="Bookman Old Style"/>
          <w:sz w:val="28"/>
          <w:szCs w:val="28"/>
        </w:rPr>
      </w:pPr>
      <w:r>
        <w:rPr>
          <w:rFonts w:ascii="Bookman Old Style" w:hAnsi="Bookman Old Style"/>
          <w:sz w:val="28"/>
          <w:szCs w:val="28"/>
        </w:rPr>
        <w:tab/>
      </w:r>
    </w:p>
    <w:p w14:paraId="4FAC7BC7" w14:textId="77777777" w:rsidR="009E73CA" w:rsidRDefault="009E73CA" w:rsidP="009E73CA">
      <w:pPr>
        <w:spacing w:line="36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Ι. ΙΩΑΝΝΙΔΗΣ, Δ.</w:t>
      </w:r>
    </w:p>
    <w:p w14:paraId="271550F2" w14:textId="77777777" w:rsidR="009E73CA" w:rsidRDefault="009E73CA" w:rsidP="009E73CA">
      <w:pPr>
        <w:spacing w:line="360" w:lineRule="auto"/>
        <w:rPr>
          <w:rFonts w:ascii="Bookman Old Style" w:hAnsi="Bookman Old Style"/>
          <w:sz w:val="28"/>
          <w:szCs w:val="28"/>
        </w:rPr>
      </w:pPr>
    </w:p>
    <w:p w14:paraId="77CF0A9C" w14:textId="77777777" w:rsidR="009E73CA" w:rsidRDefault="009E73CA" w:rsidP="009E73CA">
      <w:pPr>
        <w:spacing w:line="360" w:lineRule="auto"/>
        <w:rPr>
          <w:rFonts w:ascii="Bookman Old Style" w:hAnsi="Bookman Old Style"/>
          <w:sz w:val="28"/>
          <w:szCs w:val="28"/>
        </w:rPr>
      </w:pPr>
      <w:r>
        <w:rPr>
          <w:rFonts w:ascii="Bookman Old Style" w:hAnsi="Bookman Old Style"/>
          <w:sz w:val="28"/>
          <w:szCs w:val="28"/>
        </w:rPr>
        <w:tab/>
      </w:r>
    </w:p>
    <w:p w14:paraId="5CD6F370" w14:textId="77777777" w:rsidR="009E73CA" w:rsidRDefault="009E73CA" w:rsidP="009E73CA">
      <w:pPr>
        <w:spacing w:line="36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Ε. ΕΦΡΑΙΜ, Δ.</w:t>
      </w:r>
    </w:p>
    <w:p w14:paraId="3D45F7C3" w14:textId="77777777" w:rsidR="009E73CA" w:rsidRDefault="009E73CA" w:rsidP="009E73CA">
      <w:pPr>
        <w:spacing w:line="276" w:lineRule="auto"/>
        <w:rPr>
          <w:rFonts w:ascii="Bookman Old Style" w:hAnsi="Bookman Old Style"/>
          <w:sz w:val="28"/>
          <w:szCs w:val="28"/>
        </w:rPr>
      </w:pPr>
    </w:p>
    <w:p w14:paraId="403ED925" w14:textId="77777777" w:rsidR="009E73CA" w:rsidRDefault="009E73CA" w:rsidP="009E73CA">
      <w:pPr>
        <w:spacing w:line="276" w:lineRule="auto"/>
        <w:rPr>
          <w:rFonts w:ascii="Bookman Old Style" w:hAnsi="Bookman Old Style"/>
          <w:sz w:val="28"/>
          <w:szCs w:val="28"/>
        </w:rPr>
      </w:pPr>
    </w:p>
    <w:p w14:paraId="7F40D141" w14:textId="77777777" w:rsidR="00C874E2" w:rsidRDefault="00C874E2" w:rsidP="009E73CA">
      <w:pPr>
        <w:shd w:val="clear" w:color="auto" w:fill="FFFFFF"/>
        <w:spacing w:line="360" w:lineRule="auto"/>
        <w:rPr>
          <w:rFonts w:ascii="Bookman Old Style" w:eastAsia="Times New Roman" w:hAnsi="Bookman Old Style" w:cs="Times New Roman"/>
          <w:color w:val="000000"/>
          <w:sz w:val="28"/>
          <w:szCs w:val="28"/>
        </w:rPr>
      </w:pPr>
    </w:p>
    <w:p w14:paraId="06829C1B" w14:textId="77777777" w:rsidR="00C874E2" w:rsidRDefault="00C874E2" w:rsidP="009E73CA">
      <w:pPr>
        <w:shd w:val="clear" w:color="auto" w:fill="FFFFFF"/>
        <w:spacing w:line="360" w:lineRule="auto"/>
        <w:rPr>
          <w:rFonts w:ascii="Bookman Old Style" w:eastAsia="Times New Roman" w:hAnsi="Bookman Old Style" w:cs="Times New Roman"/>
          <w:color w:val="000000"/>
          <w:sz w:val="28"/>
          <w:szCs w:val="28"/>
        </w:rPr>
      </w:pPr>
    </w:p>
    <w:p w14:paraId="5B875272" w14:textId="77777777" w:rsidR="00C874E2" w:rsidRDefault="00C874E2" w:rsidP="009E73CA">
      <w:pPr>
        <w:shd w:val="clear" w:color="auto" w:fill="FFFFFF"/>
        <w:spacing w:line="360" w:lineRule="auto"/>
        <w:rPr>
          <w:rFonts w:ascii="Bookman Old Style" w:eastAsia="Times New Roman" w:hAnsi="Bookman Old Style" w:cs="Times New Roman"/>
          <w:color w:val="000000"/>
          <w:sz w:val="28"/>
          <w:szCs w:val="28"/>
        </w:rPr>
      </w:pPr>
    </w:p>
    <w:p w14:paraId="5D7E1324" w14:textId="77777777" w:rsidR="00C874E2" w:rsidRDefault="00C874E2" w:rsidP="009E73CA">
      <w:pPr>
        <w:shd w:val="clear" w:color="auto" w:fill="FFFFFF"/>
        <w:spacing w:line="360" w:lineRule="auto"/>
        <w:rPr>
          <w:rFonts w:ascii="Bookman Old Style" w:eastAsia="Times New Roman" w:hAnsi="Bookman Old Style" w:cs="Times New Roman"/>
          <w:color w:val="000000"/>
          <w:sz w:val="28"/>
          <w:szCs w:val="28"/>
        </w:rPr>
      </w:pPr>
    </w:p>
    <w:p w14:paraId="50056EA9" w14:textId="77777777" w:rsidR="00C874E2" w:rsidRDefault="00C874E2" w:rsidP="009E73CA">
      <w:pPr>
        <w:shd w:val="clear" w:color="auto" w:fill="FFFFFF"/>
        <w:spacing w:line="360" w:lineRule="auto"/>
        <w:rPr>
          <w:rFonts w:ascii="Bookman Old Style" w:eastAsia="Times New Roman" w:hAnsi="Bookman Old Style" w:cs="Times New Roman"/>
          <w:color w:val="000000"/>
          <w:sz w:val="28"/>
          <w:szCs w:val="28"/>
        </w:rPr>
      </w:pPr>
    </w:p>
    <w:p w14:paraId="610F3FEA" w14:textId="77777777" w:rsidR="00C874E2" w:rsidRDefault="00C874E2" w:rsidP="009E73CA">
      <w:pPr>
        <w:shd w:val="clear" w:color="auto" w:fill="FFFFFF"/>
        <w:spacing w:line="360" w:lineRule="auto"/>
        <w:rPr>
          <w:rFonts w:ascii="Bookman Old Style" w:eastAsia="Times New Roman" w:hAnsi="Bookman Old Style" w:cs="Times New Roman"/>
          <w:color w:val="000000"/>
          <w:sz w:val="28"/>
          <w:szCs w:val="28"/>
        </w:rPr>
      </w:pPr>
    </w:p>
    <w:p w14:paraId="6EEBC1F9" w14:textId="09C4F1EB" w:rsidR="005F181E" w:rsidRDefault="009E73CA" w:rsidP="009E73CA">
      <w:pPr>
        <w:shd w:val="clear" w:color="auto" w:fill="FFFFFF"/>
        <w:spacing w:line="360" w:lineRule="auto"/>
      </w:pPr>
      <w:r>
        <w:rPr>
          <w:rFonts w:ascii="Bookman Old Style" w:eastAsia="Times New Roman" w:hAnsi="Bookman Old Style" w:cs="Times New Roman"/>
          <w:color w:val="000000"/>
          <w:sz w:val="28"/>
          <w:szCs w:val="28"/>
        </w:rPr>
        <w:t>/κβπ</w:t>
      </w:r>
    </w:p>
    <w:sectPr w:rsidR="005F181E" w:rsidSect="00CC0363">
      <w:headerReference w:type="default" r:id="rId7"/>
      <w:pgSz w:w="11906" w:h="16838"/>
      <w:pgMar w:top="2016" w:right="1138" w:bottom="1440" w:left="12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98C33" w14:textId="77777777" w:rsidR="003A50E7" w:rsidRDefault="003A50E7" w:rsidP="006E2DCC">
      <w:r>
        <w:separator/>
      </w:r>
    </w:p>
  </w:endnote>
  <w:endnote w:type="continuationSeparator" w:id="0">
    <w:p w14:paraId="7C3B5980" w14:textId="77777777" w:rsidR="003A50E7" w:rsidRDefault="003A50E7" w:rsidP="006E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DF10C" w14:textId="77777777" w:rsidR="003A50E7" w:rsidRDefault="003A50E7" w:rsidP="006E2DCC">
      <w:r>
        <w:separator/>
      </w:r>
    </w:p>
  </w:footnote>
  <w:footnote w:type="continuationSeparator" w:id="0">
    <w:p w14:paraId="13BB76AA" w14:textId="77777777" w:rsidR="003A50E7" w:rsidRDefault="003A50E7" w:rsidP="006E2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393589"/>
      <w:docPartObj>
        <w:docPartGallery w:val="Page Numbers (Top of Page)"/>
        <w:docPartUnique/>
      </w:docPartObj>
    </w:sdtPr>
    <w:sdtEndPr>
      <w:rPr>
        <w:noProof/>
      </w:rPr>
    </w:sdtEndPr>
    <w:sdtContent>
      <w:p w14:paraId="126BCAAA" w14:textId="4189F0EF" w:rsidR="006E2DCC" w:rsidRDefault="006E2DC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753901C" w14:textId="77777777" w:rsidR="006E2DCC" w:rsidRDefault="006E2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E05C3"/>
    <w:multiLevelType w:val="hybridMultilevel"/>
    <w:tmpl w:val="2416C9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2B37297"/>
    <w:multiLevelType w:val="hybridMultilevel"/>
    <w:tmpl w:val="E946B358"/>
    <w:lvl w:ilvl="0" w:tplc="9F82CEB0">
      <w:start w:val="2"/>
      <w:numFmt w:val="decimal"/>
      <w:lvlText w:val="%1"/>
      <w:lvlJc w:val="left"/>
      <w:pPr>
        <w:ind w:left="2628" w:hanging="360"/>
      </w:pPr>
      <w:rPr>
        <w:rFonts w:hint="default"/>
      </w:rPr>
    </w:lvl>
    <w:lvl w:ilvl="1" w:tplc="20000019" w:tentative="1">
      <w:start w:val="1"/>
      <w:numFmt w:val="lowerLetter"/>
      <w:lvlText w:val="%2."/>
      <w:lvlJc w:val="left"/>
      <w:pPr>
        <w:ind w:left="3348" w:hanging="360"/>
      </w:pPr>
    </w:lvl>
    <w:lvl w:ilvl="2" w:tplc="2000001B" w:tentative="1">
      <w:start w:val="1"/>
      <w:numFmt w:val="lowerRoman"/>
      <w:lvlText w:val="%3."/>
      <w:lvlJc w:val="right"/>
      <w:pPr>
        <w:ind w:left="4068" w:hanging="180"/>
      </w:pPr>
    </w:lvl>
    <w:lvl w:ilvl="3" w:tplc="2000000F" w:tentative="1">
      <w:start w:val="1"/>
      <w:numFmt w:val="decimal"/>
      <w:lvlText w:val="%4."/>
      <w:lvlJc w:val="left"/>
      <w:pPr>
        <w:ind w:left="4788" w:hanging="360"/>
      </w:pPr>
    </w:lvl>
    <w:lvl w:ilvl="4" w:tplc="20000019" w:tentative="1">
      <w:start w:val="1"/>
      <w:numFmt w:val="lowerLetter"/>
      <w:lvlText w:val="%5."/>
      <w:lvlJc w:val="left"/>
      <w:pPr>
        <w:ind w:left="5508" w:hanging="360"/>
      </w:pPr>
    </w:lvl>
    <w:lvl w:ilvl="5" w:tplc="2000001B" w:tentative="1">
      <w:start w:val="1"/>
      <w:numFmt w:val="lowerRoman"/>
      <w:lvlText w:val="%6."/>
      <w:lvlJc w:val="right"/>
      <w:pPr>
        <w:ind w:left="6228" w:hanging="180"/>
      </w:pPr>
    </w:lvl>
    <w:lvl w:ilvl="6" w:tplc="2000000F" w:tentative="1">
      <w:start w:val="1"/>
      <w:numFmt w:val="decimal"/>
      <w:lvlText w:val="%7."/>
      <w:lvlJc w:val="left"/>
      <w:pPr>
        <w:ind w:left="6948" w:hanging="360"/>
      </w:pPr>
    </w:lvl>
    <w:lvl w:ilvl="7" w:tplc="20000019" w:tentative="1">
      <w:start w:val="1"/>
      <w:numFmt w:val="lowerLetter"/>
      <w:lvlText w:val="%8."/>
      <w:lvlJc w:val="left"/>
      <w:pPr>
        <w:ind w:left="7668" w:hanging="360"/>
      </w:pPr>
    </w:lvl>
    <w:lvl w:ilvl="8" w:tplc="2000001B" w:tentative="1">
      <w:start w:val="1"/>
      <w:numFmt w:val="lowerRoman"/>
      <w:lvlText w:val="%9."/>
      <w:lvlJc w:val="right"/>
      <w:pPr>
        <w:ind w:left="8388" w:hanging="180"/>
      </w:pPr>
    </w:lvl>
  </w:abstractNum>
  <w:num w:numId="1" w16cid:durableId="473256051">
    <w:abstractNumId w:val="0"/>
  </w:num>
  <w:num w:numId="2" w16cid:durableId="898131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D71"/>
    <w:rsid w:val="000574E5"/>
    <w:rsid w:val="001872EC"/>
    <w:rsid w:val="001A0A1F"/>
    <w:rsid w:val="001C5A0C"/>
    <w:rsid w:val="001D117C"/>
    <w:rsid w:val="001D412B"/>
    <w:rsid w:val="002B4F2D"/>
    <w:rsid w:val="002B62A8"/>
    <w:rsid w:val="002C78FC"/>
    <w:rsid w:val="002E4327"/>
    <w:rsid w:val="003661EB"/>
    <w:rsid w:val="003A50E7"/>
    <w:rsid w:val="0041019B"/>
    <w:rsid w:val="004217C5"/>
    <w:rsid w:val="004D1BC7"/>
    <w:rsid w:val="004E12E6"/>
    <w:rsid w:val="00543752"/>
    <w:rsid w:val="005777CD"/>
    <w:rsid w:val="005F181E"/>
    <w:rsid w:val="006314C2"/>
    <w:rsid w:val="006461AA"/>
    <w:rsid w:val="00646A90"/>
    <w:rsid w:val="006B7D71"/>
    <w:rsid w:val="006E2DCC"/>
    <w:rsid w:val="00710010"/>
    <w:rsid w:val="00752D55"/>
    <w:rsid w:val="0079306B"/>
    <w:rsid w:val="007F006B"/>
    <w:rsid w:val="008D36B7"/>
    <w:rsid w:val="008F308D"/>
    <w:rsid w:val="00941D05"/>
    <w:rsid w:val="009753FC"/>
    <w:rsid w:val="00997D83"/>
    <w:rsid w:val="009B4936"/>
    <w:rsid w:val="009E73CA"/>
    <w:rsid w:val="00A01F8A"/>
    <w:rsid w:val="00A03B4F"/>
    <w:rsid w:val="00AB162B"/>
    <w:rsid w:val="00B3484A"/>
    <w:rsid w:val="00B43BF2"/>
    <w:rsid w:val="00B45F4F"/>
    <w:rsid w:val="00B57894"/>
    <w:rsid w:val="00B95274"/>
    <w:rsid w:val="00BB2D44"/>
    <w:rsid w:val="00C65C8E"/>
    <w:rsid w:val="00C71187"/>
    <w:rsid w:val="00C874E2"/>
    <w:rsid w:val="00C8792F"/>
    <w:rsid w:val="00CA5646"/>
    <w:rsid w:val="00CC0363"/>
    <w:rsid w:val="00CC6E54"/>
    <w:rsid w:val="00D1294A"/>
    <w:rsid w:val="00D860C7"/>
    <w:rsid w:val="00DB6832"/>
    <w:rsid w:val="00DC7B0C"/>
    <w:rsid w:val="00DF2048"/>
    <w:rsid w:val="00E13860"/>
    <w:rsid w:val="00EA523F"/>
    <w:rsid w:val="00EB6F1A"/>
    <w:rsid w:val="00EF1A67"/>
    <w:rsid w:val="00F01ECF"/>
    <w:rsid w:val="00F11ABC"/>
    <w:rsid w:val="00F5696B"/>
    <w:rsid w:val="00F56D99"/>
    <w:rsid w:val="00F71F85"/>
    <w:rsid w:val="00F954B5"/>
    <w:rsid w:val="00FA7552"/>
    <w:rsid w:val="00FC2E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1D6C"/>
  <w15:chartTrackingRefBased/>
  <w15:docId w15:val="{3995A2A9-3F7A-4773-93D8-2462CC29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D71"/>
    <w:pPr>
      <w:ind w:right="28"/>
    </w:pPr>
    <w:rPr>
      <w:kern w:val="0"/>
      <w:lang w:val="el-GR"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D71"/>
    <w:pPr>
      <w:ind w:left="720"/>
      <w:contextualSpacing/>
    </w:pPr>
  </w:style>
  <w:style w:type="paragraph" w:styleId="Header">
    <w:name w:val="header"/>
    <w:basedOn w:val="Normal"/>
    <w:link w:val="HeaderChar"/>
    <w:uiPriority w:val="99"/>
    <w:unhideWhenUsed/>
    <w:rsid w:val="006E2DCC"/>
    <w:pPr>
      <w:tabs>
        <w:tab w:val="center" w:pos="4680"/>
        <w:tab w:val="right" w:pos="9360"/>
      </w:tabs>
    </w:pPr>
  </w:style>
  <w:style w:type="character" w:customStyle="1" w:styleId="HeaderChar">
    <w:name w:val="Header Char"/>
    <w:basedOn w:val="DefaultParagraphFont"/>
    <w:link w:val="Header"/>
    <w:uiPriority w:val="99"/>
    <w:rsid w:val="006E2DCC"/>
    <w:rPr>
      <w:kern w:val="0"/>
      <w:lang w:val="el-GR" w:bidi="ar-SA"/>
      <w14:ligatures w14:val="none"/>
    </w:rPr>
  </w:style>
  <w:style w:type="paragraph" w:styleId="Footer">
    <w:name w:val="footer"/>
    <w:basedOn w:val="Normal"/>
    <w:link w:val="FooterChar"/>
    <w:uiPriority w:val="99"/>
    <w:unhideWhenUsed/>
    <w:rsid w:val="006E2DCC"/>
    <w:pPr>
      <w:tabs>
        <w:tab w:val="center" w:pos="4680"/>
        <w:tab w:val="right" w:pos="9360"/>
      </w:tabs>
    </w:pPr>
  </w:style>
  <w:style w:type="character" w:customStyle="1" w:styleId="FooterChar">
    <w:name w:val="Footer Char"/>
    <w:basedOn w:val="DefaultParagraphFont"/>
    <w:link w:val="Footer"/>
    <w:uiPriority w:val="99"/>
    <w:rsid w:val="006E2DCC"/>
    <w:rPr>
      <w:kern w:val="0"/>
      <w:lang w:val="el-GR"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9</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Elena Efrem</cp:lastModifiedBy>
  <cp:revision>61</cp:revision>
  <dcterms:created xsi:type="dcterms:W3CDTF">2023-07-21T09:20:00Z</dcterms:created>
  <dcterms:modified xsi:type="dcterms:W3CDTF">2023-09-21T08:06:00Z</dcterms:modified>
</cp:coreProperties>
</file>